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ACF" w:rsidRDefault="00DE0ACF">
      <w:pPr>
        <w:pStyle w:val="ConsPlusTitlePage"/>
      </w:pPr>
      <w:r>
        <w:t xml:space="preserve">Документ предоставлен </w:t>
      </w:r>
      <w:hyperlink r:id="rId4" w:history="1">
        <w:r>
          <w:rPr>
            <w:color w:val="0000FF"/>
          </w:rPr>
          <w:t>КонсультантПлюс</w:t>
        </w:r>
      </w:hyperlink>
      <w:r>
        <w:br/>
      </w:r>
    </w:p>
    <w:p w:rsidR="00DE0ACF" w:rsidRDefault="00DE0ACF">
      <w:pPr>
        <w:pStyle w:val="ConsPlusNormal"/>
        <w:outlineLvl w:val="0"/>
      </w:pPr>
    </w:p>
    <w:p w:rsidR="00DE0ACF" w:rsidRDefault="00DE0ACF">
      <w:pPr>
        <w:pStyle w:val="ConsPlusTitle"/>
        <w:jc w:val="center"/>
        <w:outlineLvl w:val="0"/>
      </w:pPr>
      <w:r>
        <w:t>МИНИСТЕРСТВО ФИНАНСОВ РОССИЙСКОЙ ФЕДЕРАЦИИ</w:t>
      </w:r>
    </w:p>
    <w:p w:rsidR="00DE0ACF" w:rsidRDefault="00DE0ACF">
      <w:pPr>
        <w:pStyle w:val="ConsPlusTitle"/>
        <w:jc w:val="center"/>
      </w:pPr>
    </w:p>
    <w:p w:rsidR="00DE0ACF" w:rsidRDefault="00DE0ACF">
      <w:pPr>
        <w:pStyle w:val="ConsPlusTitle"/>
        <w:jc w:val="center"/>
      </w:pPr>
      <w:r>
        <w:t>ФЕДЕРАЛЬНОЕ КАЗНАЧЕЙСТВО</w:t>
      </w:r>
    </w:p>
    <w:p w:rsidR="00DE0ACF" w:rsidRDefault="00DE0ACF">
      <w:pPr>
        <w:pStyle w:val="ConsPlusTitle"/>
        <w:jc w:val="center"/>
      </w:pPr>
    </w:p>
    <w:p w:rsidR="00DE0ACF" w:rsidRDefault="00DE0ACF">
      <w:pPr>
        <w:pStyle w:val="ConsPlusTitle"/>
        <w:jc w:val="center"/>
      </w:pPr>
      <w:r>
        <w:t>ПРИКАЗ</w:t>
      </w:r>
    </w:p>
    <w:p w:rsidR="00DE0ACF" w:rsidRDefault="00DE0ACF">
      <w:pPr>
        <w:pStyle w:val="ConsPlusTitle"/>
        <w:jc w:val="center"/>
      </w:pPr>
      <w:r>
        <w:t>от 30 декабря 2016 г. N 512</w:t>
      </w:r>
    </w:p>
    <w:p w:rsidR="00DE0ACF" w:rsidRDefault="00DE0ACF">
      <w:pPr>
        <w:pStyle w:val="ConsPlusTitle"/>
        <w:jc w:val="center"/>
      </w:pPr>
    </w:p>
    <w:p w:rsidR="00DE0ACF" w:rsidRDefault="00DE0ACF">
      <w:pPr>
        <w:pStyle w:val="ConsPlusTitle"/>
        <w:jc w:val="center"/>
      </w:pPr>
      <w:r>
        <w:t>ОБ УТВЕРЖДЕНИИ ПОРЯДКА МОНИТОРИНГА В ФЕДЕРАЛЬНОМ</w:t>
      </w:r>
    </w:p>
    <w:p w:rsidR="00DE0ACF" w:rsidRDefault="00DE0ACF">
      <w:pPr>
        <w:pStyle w:val="ConsPlusTitle"/>
        <w:jc w:val="center"/>
      </w:pPr>
      <w:r>
        <w:t>КАЗНАЧЕЙСТВЕ ИНФОРМАЦИИ, ПРЕДСТАВЛЯЕМОЙ В ПОДСИСТЕМУ</w:t>
      </w:r>
    </w:p>
    <w:p w:rsidR="00DE0ACF" w:rsidRDefault="00DE0ACF">
      <w:pPr>
        <w:pStyle w:val="ConsPlusTitle"/>
        <w:jc w:val="center"/>
      </w:pPr>
      <w:r>
        <w:t>"УЧЕТ И ОТЧЕТНОСТЬ" ГОСУДАРСТВЕННОЙ ИНТЕГРИРОВАННОЙ</w:t>
      </w:r>
    </w:p>
    <w:p w:rsidR="00DE0ACF" w:rsidRDefault="00DE0ACF">
      <w:pPr>
        <w:pStyle w:val="ConsPlusTitle"/>
        <w:jc w:val="center"/>
      </w:pPr>
      <w:r>
        <w:t>ИНФОРМАЦИОННОЙ СИСТЕМЫ УПРАВЛЕНИЯ ОБЩЕСТВЕННЫМИ</w:t>
      </w:r>
    </w:p>
    <w:p w:rsidR="00DE0ACF" w:rsidRDefault="00DE0ACF">
      <w:pPr>
        <w:pStyle w:val="ConsPlusTitle"/>
        <w:jc w:val="center"/>
      </w:pPr>
      <w:r>
        <w:t>ФИНАНСАМИ "ЭЛЕКТРОННЫЙ БЮДЖЕТ"</w:t>
      </w:r>
    </w:p>
    <w:p w:rsidR="00DE0ACF" w:rsidRDefault="00DE0ACF">
      <w:pPr>
        <w:pStyle w:val="ConsPlusNormal"/>
        <w:jc w:val="center"/>
      </w:pPr>
    </w:p>
    <w:p w:rsidR="00DE0ACF" w:rsidRDefault="00DE0ACF">
      <w:pPr>
        <w:pStyle w:val="ConsPlusNormal"/>
        <w:ind w:firstLine="540"/>
        <w:jc w:val="both"/>
      </w:pPr>
      <w:r>
        <w:t xml:space="preserve">В целях реализации </w:t>
      </w:r>
      <w:hyperlink r:id="rId5" w:history="1">
        <w:r>
          <w:rPr>
            <w:color w:val="0000FF"/>
          </w:rPr>
          <w:t>раздела VII</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&lt;1&gt;, приказываю:</w:t>
      </w:r>
    </w:p>
    <w:p w:rsidR="00DE0ACF" w:rsidRDefault="00DE0ACF">
      <w:pPr>
        <w:pStyle w:val="ConsPlusNormal"/>
        <w:ind w:firstLine="540"/>
        <w:jc w:val="both"/>
      </w:pPr>
      <w:r>
        <w:t>--------------------------------</w:t>
      </w:r>
    </w:p>
    <w:p w:rsidR="00DE0ACF" w:rsidRDefault="00DE0ACF">
      <w:pPr>
        <w:pStyle w:val="ConsPlusNormal"/>
        <w:ind w:firstLine="540"/>
        <w:jc w:val="both"/>
      </w:pPr>
      <w:r>
        <w:t>&lt;1&gt; С изменениями, внесенными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Российская газета, 2012, 23 марта), от 26 октября 2012 г. N 138н (зарегистрирован в Министерстве юстиции Российской Федерации 21 декабря 2012 г., регистрационный номер 26253; Бюллетень нормативных актов федеральных органов исполнительной власти, 2013, N 11), от 19 декабря 2014 г. N 157н (зарегистрирован в Министерстве юстиции Российской Федерации 4 февраля 2015 г., регистрационный номер 35856; официальный интернет-портал правовой информации http://www.pravo.gov.ru, 6 февраля 2015 г.), от 26 августа 2015 г. N 135н (зарегистрирован в Министерстве юстиции Российской Федерации 4 сентября 2015 г., регистрационный номер 38821; официальный интернет-портал правовой информации http://www.pravo.gov.ru, 8 сентября 2015 г.), от 31 декабря 2015 г. N 229н (зарегистрирован в Министерстве юстиции Российской Федерации 3 марта 2016 г., регистрационный номер 41312; официальный интернет-портал правовой информации http://www.pravo.gov.ru, 9 марта 2016 г.), от 16 ноября 2016 г. N 209н (зарегистрирован в Министерстве юстиции Российской Федерации 15 декабря 2016 г., регистрационный номер 44741; официальный интернет-портал правовой информации http://www.pravo.gov.ru, 19 декабря 2016 г.)</w:t>
      </w:r>
    </w:p>
    <w:p w:rsidR="00DE0ACF" w:rsidRDefault="00DE0ACF">
      <w:pPr>
        <w:pStyle w:val="ConsPlusNormal"/>
        <w:ind w:firstLine="540"/>
        <w:jc w:val="both"/>
      </w:pPr>
    </w:p>
    <w:p w:rsidR="00DE0ACF" w:rsidRDefault="00DE0ACF">
      <w:pPr>
        <w:pStyle w:val="ConsPlusNormal"/>
        <w:ind w:firstLine="540"/>
        <w:jc w:val="both"/>
      </w:pPr>
      <w:r>
        <w:t xml:space="preserve">1. Утвердить прилагаемый </w:t>
      </w:r>
      <w:hyperlink w:anchor="P34" w:history="1">
        <w:r>
          <w:rPr>
            <w:color w:val="0000FF"/>
          </w:rPr>
          <w:t>Порядок</w:t>
        </w:r>
      </w:hyperlink>
      <w:r>
        <w:t xml:space="preserve">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w:t>
      </w:r>
    </w:p>
    <w:p w:rsidR="00DE0ACF" w:rsidRDefault="00DE0ACF">
      <w:pPr>
        <w:pStyle w:val="ConsPlusNormal"/>
        <w:ind w:firstLine="540"/>
        <w:jc w:val="both"/>
      </w:pPr>
      <w:bookmarkStart w:id="0" w:name="P19"/>
      <w:bookmarkEnd w:id="0"/>
      <w:r>
        <w:t xml:space="preserve">2. </w:t>
      </w:r>
      <w:hyperlink w:anchor="P34" w:history="1">
        <w:r>
          <w:rPr>
            <w:color w:val="0000FF"/>
          </w:rPr>
          <w:t>Порядок</w:t>
        </w:r>
      </w:hyperlink>
      <w:r>
        <w:t xml:space="preserve">, утвержденный настоящим приказом, применяется при мониторинге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начиная с представления годовой отчетности на 1 января 2017 года, за исключением </w:t>
      </w:r>
      <w:hyperlink w:anchor="P79" w:history="1">
        <w:r>
          <w:rPr>
            <w:color w:val="0000FF"/>
          </w:rPr>
          <w:t>абзаца седьмого пункта 2.5</w:t>
        </w:r>
      </w:hyperlink>
      <w:r>
        <w:t xml:space="preserve"> Порядка, утвержденного настоящим приказом, применяемого начиная с представления отчетности на 1 апреля 2018 года.</w:t>
      </w:r>
    </w:p>
    <w:p w:rsidR="00DE0ACF" w:rsidRDefault="00DE0ACF">
      <w:pPr>
        <w:pStyle w:val="ConsPlusNormal"/>
        <w:ind w:firstLine="540"/>
        <w:jc w:val="both"/>
      </w:pPr>
      <w:r>
        <w:t>3. Управлению финансовых технологий (В.В. Ткаченко) обеспечить доработку программного обеспечения в установленном порядке.</w:t>
      </w:r>
    </w:p>
    <w:p w:rsidR="00DE0ACF" w:rsidRDefault="00DE0ACF">
      <w:pPr>
        <w:pStyle w:val="ConsPlusNormal"/>
        <w:jc w:val="right"/>
      </w:pPr>
    </w:p>
    <w:p w:rsidR="00DE0ACF" w:rsidRDefault="00DE0ACF">
      <w:pPr>
        <w:pStyle w:val="ConsPlusNormal"/>
        <w:jc w:val="right"/>
      </w:pPr>
      <w:r>
        <w:t>Руководитель</w:t>
      </w:r>
    </w:p>
    <w:p w:rsidR="00DE0ACF" w:rsidRDefault="00DE0ACF">
      <w:pPr>
        <w:pStyle w:val="ConsPlusNormal"/>
        <w:jc w:val="right"/>
      </w:pPr>
      <w:r>
        <w:t>Р.Е.АРТЮХИН</w:t>
      </w: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outlineLvl w:val="0"/>
      </w:pPr>
      <w:r>
        <w:t>Утвержден</w:t>
      </w:r>
    </w:p>
    <w:p w:rsidR="00DE0ACF" w:rsidRDefault="00DE0ACF">
      <w:pPr>
        <w:pStyle w:val="ConsPlusNormal"/>
        <w:jc w:val="right"/>
      </w:pPr>
      <w:r>
        <w:t>приказом</w:t>
      </w:r>
    </w:p>
    <w:p w:rsidR="00DE0ACF" w:rsidRDefault="00DE0ACF">
      <w:pPr>
        <w:pStyle w:val="ConsPlusNormal"/>
        <w:jc w:val="right"/>
      </w:pPr>
      <w:r>
        <w:t>Федерального казначейства</w:t>
      </w:r>
    </w:p>
    <w:p w:rsidR="00DE0ACF" w:rsidRDefault="00DE0ACF">
      <w:pPr>
        <w:pStyle w:val="ConsPlusNormal"/>
        <w:jc w:val="right"/>
      </w:pPr>
      <w:r>
        <w:t>от 30 декабря 2016 г. N 512</w:t>
      </w:r>
    </w:p>
    <w:p w:rsidR="00DE0ACF" w:rsidRDefault="00DE0ACF">
      <w:pPr>
        <w:pStyle w:val="ConsPlusNormal"/>
        <w:jc w:val="right"/>
      </w:pPr>
    </w:p>
    <w:p w:rsidR="00DE0ACF" w:rsidRDefault="00DE0ACF">
      <w:pPr>
        <w:pStyle w:val="ConsPlusTitle"/>
        <w:jc w:val="center"/>
      </w:pPr>
      <w:bookmarkStart w:id="1" w:name="P34"/>
      <w:bookmarkEnd w:id="1"/>
      <w:r>
        <w:t>ПОРЯДОК</w:t>
      </w:r>
    </w:p>
    <w:p w:rsidR="00DE0ACF" w:rsidRDefault="00DE0ACF">
      <w:pPr>
        <w:pStyle w:val="ConsPlusTitle"/>
        <w:jc w:val="center"/>
      </w:pPr>
      <w:r>
        <w:t>МОНИТОРИНГА В ФЕДЕРАЛЬНОМ КАЗНАЧЕЙСТВЕ ИНФОРМАЦИИ,</w:t>
      </w:r>
    </w:p>
    <w:p w:rsidR="00DE0ACF" w:rsidRDefault="00DE0ACF">
      <w:pPr>
        <w:pStyle w:val="ConsPlusTitle"/>
        <w:jc w:val="center"/>
      </w:pPr>
      <w:r>
        <w:t>ПРЕДСТАВЛЯЕМОЙ В ПОДСИСТЕМУ "УЧЕТ И ОТЧЕТНОСТЬ"</w:t>
      </w:r>
    </w:p>
    <w:p w:rsidR="00DE0ACF" w:rsidRDefault="00DE0ACF">
      <w:pPr>
        <w:pStyle w:val="ConsPlusTitle"/>
        <w:jc w:val="center"/>
      </w:pPr>
      <w:r>
        <w:t>ГОСУДАРСТВЕННОЙ ИНТЕГРИРОВАННОЙ ИНФОРМАЦИОННОЙ СИСТЕМЫ</w:t>
      </w:r>
    </w:p>
    <w:p w:rsidR="00DE0ACF" w:rsidRDefault="00DE0ACF">
      <w:pPr>
        <w:pStyle w:val="ConsPlusTitle"/>
        <w:jc w:val="center"/>
      </w:pPr>
      <w:r>
        <w:t>УПРАВЛЕНИЯ ОБЩЕСТВЕННЫМИ ФИНАНСАМИ "ЭЛЕКТРОННЫЙ БЮДЖЕТ"</w:t>
      </w:r>
    </w:p>
    <w:p w:rsidR="00DE0ACF" w:rsidRDefault="00DE0ACF">
      <w:pPr>
        <w:pStyle w:val="ConsPlusNormal"/>
        <w:jc w:val="center"/>
      </w:pPr>
    </w:p>
    <w:p w:rsidR="00DE0ACF" w:rsidRDefault="00DE0ACF">
      <w:pPr>
        <w:pStyle w:val="ConsPlusNormal"/>
        <w:jc w:val="center"/>
        <w:outlineLvl w:val="1"/>
      </w:pPr>
      <w:r>
        <w:t>1. Общие положения</w:t>
      </w:r>
    </w:p>
    <w:p w:rsidR="00DE0ACF" w:rsidRDefault="00DE0ACF">
      <w:pPr>
        <w:pStyle w:val="ConsPlusNormal"/>
        <w:jc w:val="center"/>
      </w:pPr>
    </w:p>
    <w:p w:rsidR="00DE0ACF" w:rsidRDefault="00DE0ACF">
      <w:pPr>
        <w:pStyle w:val="ConsPlusNormal"/>
        <w:ind w:firstLine="540"/>
        <w:jc w:val="both"/>
      </w:pPr>
      <w:r>
        <w:t>1.1 Настоящий Порядок определяет требования к организации в Федеральном казначействе и территориальных органах Федерального казначейства (далее - ТОФК) мониторинга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(далее - Подсистема).</w:t>
      </w:r>
    </w:p>
    <w:p w:rsidR="00DE0ACF" w:rsidRDefault="00DE0ACF">
      <w:pPr>
        <w:pStyle w:val="ConsPlusNormal"/>
        <w:ind w:firstLine="540"/>
        <w:jc w:val="both"/>
      </w:pPr>
      <w:r>
        <w:t>1.2 ТОФК осуществляет мониторинг в отношении информации, предоставляемой в Подсистему 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и автономными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которым открыты в данном ТОФК (далее - субъект мониторинга).</w:t>
      </w:r>
    </w:p>
    <w:p w:rsidR="00DE0ACF" w:rsidRDefault="00DE0ACF">
      <w:pPr>
        <w:pStyle w:val="ConsPlusNormal"/>
        <w:ind w:firstLine="540"/>
        <w:jc w:val="both"/>
      </w:pPr>
      <w:r>
        <w:t>1.3 Мониторинг осуществляется в части информации, представляемой в Подсистему субъектами мониторинга ежеквартально и ежегодно.</w:t>
      </w:r>
    </w:p>
    <w:p w:rsidR="00DE0ACF" w:rsidRDefault="00DE0ACF">
      <w:pPr>
        <w:pStyle w:val="ConsPlusNormal"/>
        <w:jc w:val="center"/>
      </w:pPr>
    </w:p>
    <w:p w:rsidR="00DE0ACF" w:rsidRDefault="00DE0ACF">
      <w:pPr>
        <w:pStyle w:val="ConsPlusNormal"/>
        <w:jc w:val="center"/>
        <w:outlineLvl w:val="1"/>
      </w:pPr>
      <w:r>
        <w:t>2. Требования к организации в ТОФК мониторинга информации,</w:t>
      </w:r>
    </w:p>
    <w:p w:rsidR="00DE0ACF" w:rsidRDefault="00DE0ACF">
      <w:pPr>
        <w:pStyle w:val="ConsPlusNormal"/>
        <w:jc w:val="center"/>
      </w:pPr>
      <w:r>
        <w:t>представляемой в Подсистему субъектами мониторинга</w:t>
      </w:r>
    </w:p>
    <w:p w:rsidR="00DE0ACF" w:rsidRDefault="00DE0ACF">
      <w:pPr>
        <w:pStyle w:val="ConsPlusNormal"/>
        <w:jc w:val="center"/>
      </w:pPr>
    </w:p>
    <w:p w:rsidR="00DE0ACF" w:rsidRDefault="00DE0ACF">
      <w:pPr>
        <w:pStyle w:val="ConsPlusNormal"/>
        <w:ind w:firstLine="540"/>
        <w:jc w:val="both"/>
      </w:pPr>
      <w:r>
        <w:t>2.1 Мониторинг информации, представляемой в Подсистему субъектами мониторинга, осуществляется Отделом финансового обеспечения ТОФК и Отделом бюджетного учета и отчетности по операциям бюджетов ТОФК.</w:t>
      </w:r>
    </w:p>
    <w:p w:rsidR="00DE0ACF" w:rsidRDefault="00DE0ACF">
      <w:pPr>
        <w:pStyle w:val="ConsPlusNormal"/>
        <w:ind w:firstLine="540"/>
        <w:jc w:val="both"/>
      </w:pPr>
      <w:r>
        <w:t>Руководитель ТОФК определяет заместителя руководителя ТОФК, осуществляющего общую координацию работы по выполнению указанного мониторинга.</w:t>
      </w:r>
    </w:p>
    <w:p w:rsidR="00DE0ACF" w:rsidRDefault="00DE0ACF">
      <w:pPr>
        <w:pStyle w:val="ConsPlusNormal"/>
        <w:ind w:firstLine="540"/>
        <w:jc w:val="both"/>
      </w:pPr>
      <w:r>
        <w:t>Руководитель ТОФК осуществляет распределение между Отделом финансового обеспечения ТОФК и Отделом бюджетного учета и отчетности по операциям бюджетов действий и процедур, осуществляемых в ходе указанного мониторинга.</w:t>
      </w:r>
    </w:p>
    <w:p w:rsidR="00DE0ACF" w:rsidRDefault="00DE0ACF">
      <w:pPr>
        <w:pStyle w:val="ConsPlusNormal"/>
        <w:ind w:firstLine="540"/>
        <w:jc w:val="both"/>
      </w:pPr>
      <w:r>
        <w:t>2.2 В ходе мониторинга информации, представляемой в Подсистему субъектами мониторинга, осуществляется:</w:t>
      </w:r>
    </w:p>
    <w:p w:rsidR="00DE0ACF" w:rsidRDefault="00DE0ACF">
      <w:pPr>
        <w:pStyle w:val="ConsPlusNormal"/>
        <w:ind w:firstLine="540"/>
        <w:jc w:val="both"/>
      </w:pPr>
      <w:r>
        <w:t>анализ полноты и своевременности представления бюджетной (бухгалтерской) отчетности (далее - Отчетность);</w:t>
      </w:r>
    </w:p>
    <w:p w:rsidR="00DE0ACF" w:rsidRDefault="00DE0ACF">
      <w:pPr>
        <w:pStyle w:val="ConsPlusNormal"/>
        <w:ind w:firstLine="540"/>
        <w:jc w:val="both"/>
      </w:pPr>
      <w:r>
        <w:t>сбор, обобщение и анализ информации о показателях представленной Отчетности.</w:t>
      </w:r>
    </w:p>
    <w:p w:rsidR="00DE0ACF" w:rsidRDefault="00DE0ACF">
      <w:pPr>
        <w:pStyle w:val="ConsPlusNormal"/>
        <w:ind w:firstLine="540"/>
        <w:jc w:val="both"/>
      </w:pPr>
      <w:r>
        <w:t>2.3 В ходе анализа полноты и своевременности представления Отчетности устанавливается:</w:t>
      </w:r>
    </w:p>
    <w:p w:rsidR="00DE0ACF" w:rsidRDefault="00DE0ACF">
      <w:pPr>
        <w:pStyle w:val="ConsPlusNormal"/>
        <w:ind w:firstLine="540"/>
        <w:jc w:val="both"/>
      </w:pPr>
      <w:r>
        <w:t>соответствие состава субъектов мониторинга данным Реестра участников и неучастников бюджетного процесса (далее - Реестр);</w:t>
      </w:r>
    </w:p>
    <w:p w:rsidR="00DE0ACF" w:rsidRDefault="00DE0ACF">
      <w:pPr>
        <w:pStyle w:val="ConsPlusNormal"/>
        <w:ind w:firstLine="540"/>
        <w:jc w:val="both"/>
      </w:pPr>
      <w:r>
        <w:t>соответствие состава представленной Отчетности в Подсистему нормативным правовым актам и методическим документам Минфина России;</w:t>
      </w:r>
    </w:p>
    <w:p w:rsidR="00DE0ACF" w:rsidRDefault="00DE0ACF">
      <w:pPr>
        <w:pStyle w:val="ConsPlusNormal"/>
        <w:ind w:firstLine="540"/>
        <w:jc w:val="both"/>
      </w:pPr>
      <w:r>
        <w:t xml:space="preserve">соблюдение субъектами мониторинга сроков представления Отчетности в Подсистему, </w:t>
      </w:r>
      <w:r>
        <w:lastRenderedPageBreak/>
        <w:t>установленных соответствующим главным распорядителем (распорядителем) средств федерального бюджета, главным администратором доходов федерального бюджета, главным администратором источников финансирования дефицита федерального бюджета (далее - главным администратором средств федерального бюджета).</w:t>
      </w:r>
    </w:p>
    <w:p w:rsidR="00DE0ACF" w:rsidRDefault="00DE0ACF">
      <w:pPr>
        <w:pStyle w:val="ConsPlusNormal"/>
        <w:ind w:firstLine="540"/>
        <w:jc w:val="both"/>
      </w:pPr>
      <w:r>
        <w:t>2.3.1 Соответствие состава субъектов мониторинга данным Реестра осуществляется путем выверки показателей Реестра с перечнем субъектов мониторинга, представивших информацию в Подсистему по состоянию на день, следующий за днем представления отчетности, установленным соответствующим главным администратором (администратором) средств федерального бюджета для формирования и представления субъектами мониторинга отчетности в Подсистему.</w:t>
      </w:r>
    </w:p>
    <w:p w:rsidR="00DE0ACF" w:rsidRDefault="00DE0ACF">
      <w:pPr>
        <w:pStyle w:val="ConsPlusNormal"/>
        <w:ind w:firstLine="540"/>
        <w:jc w:val="both"/>
      </w:pPr>
      <w:r>
        <w:t>В случае выявления фактов несоответствия устанавливается причина непредставления Отчетности в Подсистему или отсутствия информации в Реестре.</w:t>
      </w:r>
    </w:p>
    <w:p w:rsidR="00DE0ACF" w:rsidRDefault="00DE0ACF">
      <w:pPr>
        <w:pStyle w:val="ConsPlusNormal"/>
        <w:ind w:firstLine="540"/>
        <w:jc w:val="both"/>
      </w:pPr>
      <w:r>
        <w:t>2.3.2 Соответствие состава представленной Отчетности в Подсистему нормативным правовым актам и методическим документам Минфина России определяется по состоянию на день, следующий за днем представления отчетности, установленным соответствующим главным администратором (администратором) средств федерального бюджета для формирования и представления субъектами мониторинга отчетности в Подсистему.</w:t>
      </w:r>
    </w:p>
    <w:p w:rsidR="00DE0ACF" w:rsidRDefault="00DE0ACF">
      <w:pPr>
        <w:pStyle w:val="ConsPlusNormal"/>
        <w:ind w:firstLine="540"/>
        <w:jc w:val="both"/>
      </w:pPr>
      <w:r>
        <w:t xml:space="preserve">В случае выявления фактов несоответствия устанавливается причина непредставления Отчетности в Подсистему с учетом положений </w:t>
      </w:r>
      <w:hyperlink r:id="rId6" w:history="1">
        <w:r>
          <w:rPr>
            <w:color w:val="0000FF"/>
          </w:rPr>
          <w:t>п. 8</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 (зарегистрирован в Министерстве юстиции Российской Федерации 3 февраля 2011 г., регистрационный номер 19693; Российская газета, 2011, 5 марта) &lt;1&gt; (далее - Инструкция N 191н), </w:t>
      </w:r>
      <w:hyperlink r:id="rId7" w:history="1">
        <w:r>
          <w:rPr>
            <w:color w:val="0000FF"/>
          </w:rPr>
          <w:t>п. 10</w:t>
        </w:r>
      </w:hyperlink>
      <w: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25.03.2011 N 33н (зарегистрирован в Министерстве юстиции Российской Федерации 22 апреля 2011 г., регистрационный номер 20558; Российская газета, 2011, 4 мая) &lt;2&gt;.</w:t>
      </w:r>
    </w:p>
    <w:p w:rsidR="00DE0ACF" w:rsidRDefault="00DE0ACF">
      <w:pPr>
        <w:pStyle w:val="ConsPlusNormal"/>
        <w:ind w:firstLine="540"/>
        <w:jc w:val="both"/>
      </w:pPr>
      <w:r>
        <w:t>--------------------------------</w:t>
      </w:r>
    </w:p>
    <w:p w:rsidR="00DE0ACF" w:rsidRDefault="00DE0ACF">
      <w:pPr>
        <w:pStyle w:val="ConsPlusNormal"/>
        <w:ind w:firstLine="540"/>
        <w:jc w:val="both"/>
      </w:pPr>
      <w:r>
        <w:t>&lt;1&gt; С изменениями, внесенными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Российская газета, 2012, 23 марта), от 26 октября 2012 г. N 138н (зарегистрирован в Министерстве юстиции Российской Федерации 21 декабря 2012 г., регистрационный номер 26253; Бюллетень нормативных актов федеральных органов исполнительной власти, 2013, N 11), от 19 декабря 2014 г. N 157н (зарегистрирован в Министерстве юстиции Российской Федерации 4 февраля 2015 г., регистрационный номер 35856; официальный интернет-портал правовой информации http://www.pravo.gov.ru, 6 февраля 2015 г.), от 26 августа 2015 г. N 135н (зарегистрирован в Министерстве юстиции Российской Федерации 4 сентября 2015 г., регистрационный номер 38821; официальный интернет-портал правовой информации http://www.pravo.gov.ru, 8 сентября 2015 г.), от 31 декабря 2015 г. N 229н (зарегистрирован в Министерстве юстиции Российской Федерации 3 марта 2016 г., регистрационный номер 41312; официальный интернет-портал правовой информации http://www.pravo.gov.ru, 9 марта 2016 г.).</w:t>
      </w:r>
    </w:p>
    <w:p w:rsidR="00DE0ACF" w:rsidRDefault="00DE0ACF">
      <w:pPr>
        <w:pStyle w:val="ConsPlusNormal"/>
        <w:ind w:firstLine="540"/>
        <w:jc w:val="both"/>
      </w:pPr>
      <w:r>
        <w:t xml:space="preserve">&lt;2&gt; С изменениями, внесенными приказом Министерства финансов Российской Федерации от 26 октября 2012 г. N 139н (зарегистрирован в Министерстве юстиции Российской Федерации 19 декабря 2012 г., регистрационный номер 26195; Российская газета, 2012, 26 декабря); от 29 декабря 2014 г. N 172н (зарегистрировано в Министерстве юстиции Российской Федерации 4 февраля 2015 г., регистрационный номер 35854; официальный интернет-портал правовой информации http://www.pravo.gov.ru, 5 февраля 2015 г.); от 20 марта 2015 г. N 43н (зарегистрирован в Министерстве юстиции Российской Федерации 1 апреля 2015 г., регистрационный номер 36668; официальный интернет-портал правовой информации http://www.pravo.gov.ru, 3 апреля 2015 г.), от 17 декабря 2015 г. N 199н (зарегистрирован в Министерстве юстиции Российской Федерации 28 января 2016 г., регистрационный номер 40889; официальный интернет-портал правовой информации http://www.pravo.gov.ru, 3 февраля 2016 г.), от 16 ноября 2016 г. N 209н (зарегистрирован в Министерстве юстиции Российской Федерации 15 декабря 2016 г., регистрационный номер 44741; официальный интернет-портал правовой информации </w:t>
      </w:r>
      <w:r>
        <w:lastRenderedPageBreak/>
        <w:t>http://www.pravo.gov.ru, 19 декабря 2016 г.).</w:t>
      </w:r>
    </w:p>
    <w:p w:rsidR="00DE0ACF" w:rsidRDefault="00DE0ACF">
      <w:pPr>
        <w:pStyle w:val="ConsPlusNormal"/>
        <w:ind w:firstLine="540"/>
        <w:jc w:val="both"/>
      </w:pPr>
    </w:p>
    <w:p w:rsidR="00DE0ACF" w:rsidRDefault="00DE0ACF">
      <w:pPr>
        <w:pStyle w:val="ConsPlusNormal"/>
        <w:ind w:firstLine="540"/>
        <w:jc w:val="both"/>
      </w:pPr>
      <w:r>
        <w:t xml:space="preserve">2.3.3 Соблюдение субъектами мониторинга сроков представления Отчетности в Подсистему, установленных нормативными документами соответствующего главного администратора (администратора) средств федерального бюджета, осуществляется по состоянию на день, следующий за днем, установленным для формирования и представления субъектами мониторинга ТОФК отчетности в Подсистему в соответствии с нормативными документами соответствующего главного администратора (администратора) средств федерального бюджета, с учетом положений </w:t>
      </w:r>
      <w:hyperlink r:id="rId8" w:history="1">
        <w:r>
          <w:rPr>
            <w:color w:val="0000FF"/>
          </w:rPr>
          <w:t>п. 10</w:t>
        </w:r>
      </w:hyperlink>
      <w:r>
        <w:t xml:space="preserve"> Инструкции N 191н.</w:t>
      </w:r>
    </w:p>
    <w:p w:rsidR="00DE0ACF" w:rsidRDefault="00DE0ACF">
      <w:pPr>
        <w:pStyle w:val="ConsPlusNormal"/>
        <w:ind w:firstLine="540"/>
        <w:jc w:val="both"/>
      </w:pPr>
      <w:r>
        <w:t>При этом фактическим сроком представления Отчетности считается наиболее поздняя дата формирования в Подсистеме субъектом мониторинга статуса "Представлен" для любой отчетной формы из состава представляемой Отчетности.</w:t>
      </w:r>
    </w:p>
    <w:p w:rsidR="00DE0ACF" w:rsidRDefault="00DE0ACF">
      <w:pPr>
        <w:pStyle w:val="ConsPlusNormal"/>
        <w:ind w:firstLine="540"/>
        <w:jc w:val="both"/>
      </w:pPr>
      <w:r>
        <w:t>2.4 Сбор, обобщение и анализ информации о показателях представленной Отчетности осуществляется после завершения субъектом мониторинга всех установленных в Подсистеме технологических процедур и по состоянию на наиболее позднюю дату формирования в Подсистеме субъектом мониторинга статуса "Принят" или "Принят условно" для любой отчетной формы из состава представляемой Отчетности и (или) в срок не позднее 5 рабочих дней до дня представления главным распорядителем средств федерального бюджета отчетности в Межрегиональное операционное управление Федерального казначейства (далее - МОУ ФК).</w:t>
      </w:r>
    </w:p>
    <w:p w:rsidR="00DE0ACF" w:rsidRDefault="00DE0ACF">
      <w:pPr>
        <w:pStyle w:val="ConsPlusNormal"/>
        <w:ind w:firstLine="540"/>
        <w:jc w:val="both"/>
      </w:pPr>
      <w:r>
        <w:t>2.5 В ходе сбора, обобщения и анализа информации о показателях представленной Отчетности обеспечивается получение информации о:</w:t>
      </w:r>
    </w:p>
    <w:p w:rsidR="00DE0ACF" w:rsidRDefault="00DE0ACF">
      <w:pPr>
        <w:pStyle w:val="ConsPlusNormal"/>
        <w:ind w:firstLine="540"/>
        <w:jc w:val="both"/>
      </w:pPr>
      <w:r>
        <w:t>наличии арифметических и логических ошибок в показателях Отчетности;</w:t>
      </w:r>
    </w:p>
    <w:p w:rsidR="00DE0ACF" w:rsidRDefault="00DE0ACF">
      <w:pPr>
        <w:pStyle w:val="ConsPlusNormal"/>
        <w:ind w:firstLine="540"/>
        <w:jc w:val="both"/>
      </w:pPr>
      <w:r>
        <w:t>соответствии показателей Отчетности данным классификаторов и справочников, используемых в Подсистеме;</w:t>
      </w:r>
    </w:p>
    <w:p w:rsidR="00DE0ACF" w:rsidRDefault="00DE0ACF">
      <w:pPr>
        <w:pStyle w:val="ConsPlusNormal"/>
        <w:ind w:firstLine="540"/>
        <w:jc w:val="both"/>
      </w:pPr>
      <w:r>
        <w:t>выполнении субъектом мониторинга обязательных требований по раскрытию информации в составе пояснительной записки к Отчетности;</w:t>
      </w:r>
    </w:p>
    <w:p w:rsidR="00DE0ACF" w:rsidRDefault="00DE0ACF">
      <w:pPr>
        <w:pStyle w:val="ConsPlusNormal"/>
        <w:ind w:firstLine="540"/>
        <w:jc w:val="both"/>
      </w:pPr>
      <w:r>
        <w:t>соответствии показателей Отчетности субъектов мониторинга показателям кассового исполнения федерального бюджета, а также показателям утвержденных и (или) доведенных бюджетных данных, отраженным на лицевых счетах субъектов мониторинга, открытых в соответствующем ТОФК;</w:t>
      </w:r>
    </w:p>
    <w:p w:rsidR="00DE0ACF" w:rsidRDefault="00DE0ACF">
      <w:pPr>
        <w:pStyle w:val="ConsPlusNormal"/>
        <w:ind w:firstLine="540"/>
        <w:jc w:val="both"/>
      </w:pPr>
      <w:r>
        <w:t>соответствии показателей остатков денежных средств федеральных бюджетных и автономных учреждений, отраженных в соответствующей Отчетности, показателям, отраженным на лицевых счетах субъектов мониторинга, открытых в соответствующем ТОФК;</w:t>
      </w:r>
    </w:p>
    <w:p w:rsidR="00DE0ACF" w:rsidRDefault="00DE0ACF">
      <w:pPr>
        <w:pStyle w:val="ConsPlusNormal"/>
        <w:pBdr>
          <w:top w:val="single" w:sz="6" w:space="0" w:color="auto"/>
        </w:pBdr>
        <w:spacing w:before="100" w:after="100"/>
        <w:jc w:val="both"/>
        <w:rPr>
          <w:sz w:val="2"/>
          <w:szCs w:val="2"/>
        </w:rPr>
      </w:pPr>
    </w:p>
    <w:p w:rsidR="00DE0ACF" w:rsidRDefault="00DE0ACF">
      <w:pPr>
        <w:pStyle w:val="ConsPlusNormal"/>
        <w:ind w:firstLine="540"/>
        <w:jc w:val="both"/>
      </w:pPr>
      <w:r>
        <w:t>Абзац седьмой пункта 2.5 применяется начиная с представления отчетности на 1 апреля 2018 года (</w:t>
      </w:r>
      <w:hyperlink w:anchor="P19" w:history="1">
        <w:r>
          <w:rPr>
            <w:color w:val="0000FF"/>
          </w:rPr>
          <w:t>пункт 2</w:t>
        </w:r>
      </w:hyperlink>
      <w:r>
        <w:t xml:space="preserve"> данного документа).</w:t>
      </w:r>
    </w:p>
    <w:p w:rsidR="00DE0ACF" w:rsidRDefault="00DE0ACF">
      <w:pPr>
        <w:pStyle w:val="ConsPlusNormal"/>
        <w:pBdr>
          <w:top w:val="single" w:sz="6" w:space="0" w:color="auto"/>
        </w:pBdr>
        <w:spacing w:before="100" w:after="100"/>
        <w:jc w:val="both"/>
        <w:rPr>
          <w:sz w:val="2"/>
          <w:szCs w:val="2"/>
        </w:rPr>
      </w:pPr>
    </w:p>
    <w:p w:rsidR="00DE0ACF" w:rsidRDefault="00DE0ACF">
      <w:pPr>
        <w:pStyle w:val="ConsPlusNormal"/>
        <w:ind w:firstLine="540"/>
        <w:jc w:val="both"/>
      </w:pPr>
      <w:bookmarkStart w:id="2" w:name="P79"/>
      <w:bookmarkEnd w:id="2"/>
      <w:r>
        <w:t>соответствии показателей Отчетности субъектов мониторинга показателям бюджетных и денежных обязательств, учтенных соответствующим ТОФК.</w:t>
      </w:r>
    </w:p>
    <w:p w:rsidR="00DE0ACF" w:rsidRDefault="00DE0ACF">
      <w:pPr>
        <w:pStyle w:val="ConsPlusNormal"/>
        <w:ind w:firstLine="540"/>
        <w:jc w:val="both"/>
      </w:pPr>
      <w:r>
        <w:t>2.5.1 Наличие арифметических и логических ошибок в показателях Отчетности, представленной субъектами мониторинга в Подсистему, определяется на основании данных протоколов внутридокументного, междокументного и внешнего контроля, сформированных Подсистемой в автоматизированном режиме (далее - Протоколы контроля).</w:t>
      </w:r>
    </w:p>
    <w:p w:rsidR="00DE0ACF" w:rsidRDefault="00DE0ACF">
      <w:pPr>
        <w:pStyle w:val="ConsPlusNormal"/>
        <w:ind w:firstLine="540"/>
        <w:jc w:val="both"/>
      </w:pPr>
      <w:r>
        <w:t>Перечень арифметических и логических ошибок сопоставляется с информацией, раскрываемой в пояснительной записке к Отчетности.</w:t>
      </w:r>
    </w:p>
    <w:p w:rsidR="00DE0ACF" w:rsidRDefault="00DE0ACF">
      <w:pPr>
        <w:pStyle w:val="ConsPlusNormal"/>
        <w:ind w:firstLine="540"/>
        <w:jc w:val="both"/>
      </w:pPr>
      <w:r>
        <w:t>2.5.2 Соответствие показателей Отчетности данным классификаторов и справочников, используемых в Подсистеме, определяется на основании данных протоколов форматного (внутридокументного) контроля, сформированных Подсистемой в автоматизированном режиме.</w:t>
      </w:r>
    </w:p>
    <w:p w:rsidR="00DE0ACF" w:rsidRDefault="00DE0ACF">
      <w:pPr>
        <w:pStyle w:val="ConsPlusNormal"/>
        <w:ind w:firstLine="540"/>
        <w:jc w:val="both"/>
      </w:pPr>
      <w:r>
        <w:t>При выявлении несоответствия показателей Отчетности данным классификаторов и справочников, используемых в Подсистеме, осуществляется доведение в течение одного рабочего дня указанной информации ответственным за ведение соответствующих справочников и классификаторов с одновременной регистрацией обращения в Системе управления эксплуатацией Федерального казначейства.</w:t>
      </w:r>
    </w:p>
    <w:p w:rsidR="00DE0ACF" w:rsidRDefault="00DE0ACF">
      <w:pPr>
        <w:pStyle w:val="ConsPlusNormal"/>
        <w:ind w:firstLine="540"/>
        <w:jc w:val="both"/>
      </w:pPr>
      <w:r>
        <w:t xml:space="preserve">2.5.3 Выполнение субъектом мониторинга обязательных требований по раскрытию </w:t>
      </w:r>
      <w:r>
        <w:lastRenderedPageBreak/>
        <w:t>информации в составе пояснительной записки к Отчетности определяется путем анализа содержания пояснительной записки к Отчетности и сопоставления ее содержания с обязательными требованиями по раскрытию информации, установленными нормативными и методическим документами Минфина России и Федерального казначейства.</w:t>
      </w:r>
    </w:p>
    <w:p w:rsidR="00DE0ACF" w:rsidRDefault="00DE0ACF">
      <w:pPr>
        <w:pStyle w:val="ConsPlusNormal"/>
        <w:ind w:firstLine="540"/>
        <w:jc w:val="both"/>
      </w:pPr>
      <w:r>
        <w:t>2.5.4 Соответствие показателей Отчетности субъектов мониторинга показателям кассового исполнения федерального бюджета, а также показателям утвержденных и (или) доведенных бюджетных данных и иным показателям, отраженных на лицевых счетах субъектов мониторинга, определяется путем анализа соответствующих показателей Отчетности субъектов мониторинга и показателей бюджетной отчетности ТОФК, сформированных в автоматизированном режиме.</w:t>
      </w:r>
    </w:p>
    <w:p w:rsidR="00DE0ACF" w:rsidRDefault="00DE0ACF">
      <w:pPr>
        <w:pStyle w:val="ConsPlusNormal"/>
        <w:ind w:firstLine="540"/>
        <w:jc w:val="both"/>
      </w:pPr>
      <w:r>
        <w:t>2.5.5 Соответствие показателей Отчетности субъектов мониторинга показателям бюджетных и денежных обязательств, учтенных соответствующим ТОФК, определяется путем анализа соответствующих показателей Отчетности субъектов мониторинга ТОФК и показателей, учтенных ТОФК, сформированных в автоматизированном режиме.</w:t>
      </w:r>
    </w:p>
    <w:p w:rsidR="00DE0ACF" w:rsidRDefault="00DE0ACF">
      <w:pPr>
        <w:pStyle w:val="ConsPlusNormal"/>
        <w:ind w:firstLine="540"/>
        <w:jc w:val="both"/>
      </w:pPr>
      <w:r>
        <w:t>2.6 По результатам анализа полноты и своевременности представления Отчетности и сбора, обобщения и анализа показателей представленной Отчетности формируются Сведения о результатах мониторинга информации, представляемой в подсистему "Учет и отчетность" ГИИС "Электронный бюджет" с типом "по ТОФК" (далее - Сведения) (</w:t>
      </w:r>
      <w:hyperlink w:anchor="P175" w:history="1">
        <w:r>
          <w:rPr>
            <w:color w:val="0000FF"/>
          </w:rPr>
          <w:t>Приложение</w:t>
        </w:r>
      </w:hyperlink>
      <w:r>
        <w:t xml:space="preserve"> к настоящему порядку).</w:t>
      </w:r>
    </w:p>
    <w:p w:rsidR="00DE0ACF" w:rsidRDefault="00DE0ACF">
      <w:pPr>
        <w:pStyle w:val="ConsPlusNormal"/>
        <w:ind w:firstLine="540"/>
        <w:jc w:val="both"/>
      </w:pPr>
      <w:r>
        <w:t>Формирование Сведений осуществляется в Подсистеме.</w:t>
      </w:r>
    </w:p>
    <w:p w:rsidR="00DE0ACF" w:rsidRDefault="00DE0ACF">
      <w:pPr>
        <w:pStyle w:val="ConsPlusNormal"/>
        <w:ind w:firstLine="540"/>
        <w:jc w:val="both"/>
      </w:pPr>
      <w:r>
        <w:t>2.6.1 Показатели Сведений формируются в следующем порядке.</w:t>
      </w:r>
    </w:p>
    <w:p w:rsidR="00DE0ACF" w:rsidRDefault="00DE0ACF">
      <w:pPr>
        <w:pStyle w:val="ConsPlusNormal"/>
        <w:ind w:firstLine="540"/>
        <w:jc w:val="both"/>
      </w:pPr>
      <w:r>
        <w:t xml:space="preserve">В </w:t>
      </w:r>
      <w:hyperlink w:anchor="P190" w:history="1">
        <w:r>
          <w:rPr>
            <w:color w:val="0000FF"/>
          </w:rPr>
          <w:t>разделе 1</w:t>
        </w:r>
      </w:hyperlink>
      <w:r>
        <w:t xml:space="preserve"> Сведений подлежит раскрытию общая информация о результатах мониторинга ТОФК Отчетности, представляемой в Подсистему субъектами мониторинга.</w:t>
      </w:r>
    </w:p>
    <w:p w:rsidR="00DE0ACF" w:rsidRDefault="00DE0ACF">
      <w:pPr>
        <w:pStyle w:val="ConsPlusNormal"/>
        <w:ind w:firstLine="540"/>
        <w:jc w:val="both"/>
      </w:pPr>
      <w:r>
        <w:t>По разделу 1 Сведений указывается:</w:t>
      </w:r>
    </w:p>
    <w:p w:rsidR="00DE0ACF" w:rsidRDefault="00DE0ACF">
      <w:pPr>
        <w:pStyle w:val="ConsPlusNormal"/>
        <w:ind w:firstLine="540"/>
        <w:jc w:val="both"/>
      </w:pPr>
      <w:r>
        <w:t xml:space="preserve">в </w:t>
      </w:r>
      <w:hyperlink w:anchor="P207" w:history="1">
        <w:r>
          <w:rPr>
            <w:color w:val="0000FF"/>
          </w:rPr>
          <w:t>графах 1</w:t>
        </w:r>
      </w:hyperlink>
      <w:r>
        <w:t xml:space="preserve">, </w:t>
      </w:r>
      <w:hyperlink w:anchor="P208" w:history="1">
        <w:r>
          <w:rPr>
            <w:color w:val="0000FF"/>
          </w:rPr>
          <w:t>2</w:t>
        </w:r>
      </w:hyperlink>
      <w:r>
        <w:t xml:space="preserve"> - код и наименование главного администратора средств федерального бюджета по бюджетной классификации, подведомственным которому является субъект мониторинга;</w:t>
      </w:r>
    </w:p>
    <w:p w:rsidR="00DE0ACF" w:rsidRDefault="00DE0ACF">
      <w:pPr>
        <w:pStyle w:val="ConsPlusNormal"/>
        <w:ind w:firstLine="540"/>
        <w:jc w:val="both"/>
      </w:pPr>
      <w:r>
        <w:t xml:space="preserve">в </w:t>
      </w:r>
      <w:hyperlink w:anchor="P209" w:history="1">
        <w:r>
          <w:rPr>
            <w:color w:val="0000FF"/>
          </w:rPr>
          <w:t>графах 3</w:t>
        </w:r>
      </w:hyperlink>
      <w:r>
        <w:t xml:space="preserve">, </w:t>
      </w:r>
      <w:hyperlink w:anchor="P210" w:history="1">
        <w:r>
          <w:rPr>
            <w:color w:val="0000FF"/>
          </w:rPr>
          <w:t>4</w:t>
        </w:r>
      </w:hyperlink>
      <w:r>
        <w:t xml:space="preserve"> - код и наименование субъекта мониторинга в соответствии с Реестром;</w:t>
      </w:r>
    </w:p>
    <w:p w:rsidR="00DE0ACF" w:rsidRDefault="00DE0ACF">
      <w:pPr>
        <w:pStyle w:val="ConsPlusNormal"/>
        <w:ind w:firstLine="540"/>
        <w:jc w:val="both"/>
      </w:pPr>
      <w:r>
        <w:t xml:space="preserve">в </w:t>
      </w:r>
      <w:hyperlink w:anchor="P211" w:history="1">
        <w:r>
          <w:rPr>
            <w:color w:val="0000FF"/>
          </w:rPr>
          <w:t>графе 5</w:t>
        </w:r>
      </w:hyperlink>
      <w:r>
        <w:t xml:space="preserve"> - соответствующий код типа субъекта мониторинга: 1 - получатель бюджетных средств, 2 - распорядитель бюджетных средств, 3 - администратор доходов, 4 - администратор источников финансирования дефицита бюджета, 5 - федеральное бюджетное или автономное учреждение;</w:t>
      </w:r>
    </w:p>
    <w:p w:rsidR="00DE0ACF" w:rsidRDefault="00DE0ACF">
      <w:pPr>
        <w:pStyle w:val="ConsPlusNormal"/>
        <w:ind w:firstLine="540"/>
        <w:jc w:val="both"/>
      </w:pPr>
      <w:r>
        <w:t xml:space="preserve">в </w:t>
      </w:r>
      <w:hyperlink w:anchor="P212" w:history="1">
        <w:r>
          <w:rPr>
            <w:color w:val="0000FF"/>
          </w:rPr>
          <w:t>графе 6</w:t>
        </w:r>
      </w:hyperlink>
      <w:r>
        <w:t xml:space="preserve"> - в случае обеспечения субъектом мониторинга полноты представления Отчетности в Подсистему в соответствии с нормативными правовыми актами и методическими документами Минфина России указывается значение 1, в случае несоответствия указывается значение 2;</w:t>
      </w:r>
    </w:p>
    <w:p w:rsidR="00DE0ACF" w:rsidRDefault="00DE0ACF">
      <w:pPr>
        <w:pStyle w:val="ConsPlusNormal"/>
        <w:ind w:firstLine="540"/>
        <w:jc w:val="both"/>
      </w:pPr>
      <w:r>
        <w:t xml:space="preserve">в </w:t>
      </w:r>
      <w:hyperlink w:anchor="P213" w:history="1">
        <w:r>
          <w:rPr>
            <w:color w:val="0000FF"/>
          </w:rPr>
          <w:t>графах 7</w:t>
        </w:r>
      </w:hyperlink>
      <w:r>
        <w:t xml:space="preserve">, </w:t>
      </w:r>
      <w:hyperlink w:anchor="P214" w:history="1">
        <w:r>
          <w:rPr>
            <w:color w:val="0000FF"/>
          </w:rPr>
          <w:t>8</w:t>
        </w:r>
      </w:hyperlink>
      <w:r>
        <w:t xml:space="preserve"> - дата (в формате ДД.ММ.ГГГГ) представления Отчетности в Подсистему субъектом мониторинга, установленная нормативными документами соответствующего главного администратора средств федерального бюджета, и фактическая дата соответственно;</w:t>
      </w:r>
    </w:p>
    <w:p w:rsidR="00DE0ACF" w:rsidRDefault="00DE0ACF">
      <w:pPr>
        <w:pStyle w:val="ConsPlusNormal"/>
        <w:ind w:firstLine="540"/>
        <w:jc w:val="both"/>
      </w:pPr>
      <w:r>
        <w:t xml:space="preserve">в </w:t>
      </w:r>
      <w:hyperlink w:anchor="P215" w:history="1">
        <w:r>
          <w:rPr>
            <w:color w:val="0000FF"/>
          </w:rPr>
          <w:t>графе 9</w:t>
        </w:r>
      </w:hyperlink>
      <w:r>
        <w:t xml:space="preserve"> - в случае наличия арифметических и логических ошибок в показателях Отчетности, представленной субъектами мониторинга в Подсистему, указывается значение 1, в случае отсутствия указывается значение 2;</w:t>
      </w:r>
    </w:p>
    <w:p w:rsidR="00DE0ACF" w:rsidRDefault="00DE0ACF">
      <w:pPr>
        <w:pStyle w:val="ConsPlusNormal"/>
        <w:ind w:firstLine="540"/>
        <w:jc w:val="both"/>
      </w:pPr>
      <w:r>
        <w:t xml:space="preserve">в </w:t>
      </w:r>
      <w:hyperlink w:anchor="P216" w:history="1">
        <w:r>
          <w:rPr>
            <w:color w:val="0000FF"/>
          </w:rPr>
          <w:t>графе 10</w:t>
        </w:r>
      </w:hyperlink>
      <w:r>
        <w:t xml:space="preserve"> - в случае соответствие показателей Отчетности данным классификаторов и справочников, используемых в Подсистеме, указывается значение 1, в случае несоответствия указывается значение 2;</w:t>
      </w:r>
    </w:p>
    <w:p w:rsidR="00DE0ACF" w:rsidRDefault="00DE0ACF">
      <w:pPr>
        <w:pStyle w:val="ConsPlusNormal"/>
        <w:ind w:firstLine="540"/>
        <w:jc w:val="both"/>
      </w:pPr>
      <w:r>
        <w:t xml:space="preserve">в </w:t>
      </w:r>
      <w:hyperlink w:anchor="P217" w:history="1">
        <w:r>
          <w:rPr>
            <w:color w:val="0000FF"/>
          </w:rPr>
          <w:t>графе 11</w:t>
        </w:r>
      </w:hyperlink>
      <w:r>
        <w:t xml:space="preserve"> - в случае выполнения субъектом мониторинга обязательных требований по раскрытию информации в составе пояснительной записки к Отчетности указывается значение 1, в случае несоответствия указывается значение 2;</w:t>
      </w:r>
    </w:p>
    <w:p w:rsidR="00DE0ACF" w:rsidRDefault="00DE0ACF">
      <w:pPr>
        <w:pStyle w:val="ConsPlusNormal"/>
        <w:ind w:firstLine="540"/>
        <w:jc w:val="both"/>
      </w:pPr>
      <w:r>
        <w:t xml:space="preserve">в </w:t>
      </w:r>
      <w:hyperlink w:anchor="P218" w:history="1">
        <w:r>
          <w:rPr>
            <w:color w:val="0000FF"/>
          </w:rPr>
          <w:t>графе 12</w:t>
        </w:r>
      </w:hyperlink>
      <w:r>
        <w:t xml:space="preserve"> - в случае соответствия показателей Отчетности субъектов мониторинга показателям бюджетных и денежных обязательств, учтенных соответствующим ТОФК, указывается значение 1, в случае несоответствия указывается значение 2.</w:t>
      </w:r>
    </w:p>
    <w:p w:rsidR="00DE0ACF" w:rsidRDefault="00DE0ACF">
      <w:pPr>
        <w:pStyle w:val="ConsPlusNormal"/>
        <w:ind w:firstLine="540"/>
        <w:jc w:val="both"/>
      </w:pPr>
      <w:r>
        <w:t xml:space="preserve">В </w:t>
      </w:r>
      <w:hyperlink w:anchor="P256" w:history="1">
        <w:r>
          <w:rPr>
            <w:color w:val="0000FF"/>
          </w:rPr>
          <w:t>разделе 2</w:t>
        </w:r>
      </w:hyperlink>
      <w:r>
        <w:t xml:space="preserve"> Сведений подлежит раскрытию информация об арифметических и логических ошибках в показателях Отчетности субъектов мониторинга, требующих дополнительного контроля и анализа со стороны главного администратора средств федерального бюджета.</w:t>
      </w:r>
    </w:p>
    <w:p w:rsidR="00DE0ACF" w:rsidRDefault="00DE0ACF">
      <w:pPr>
        <w:pStyle w:val="ConsPlusNormal"/>
        <w:ind w:firstLine="540"/>
        <w:jc w:val="both"/>
      </w:pPr>
      <w:r>
        <w:t>По разделу 2 Сведений указывается:</w:t>
      </w:r>
    </w:p>
    <w:p w:rsidR="00DE0ACF" w:rsidRDefault="00DE0ACF">
      <w:pPr>
        <w:pStyle w:val="ConsPlusNormal"/>
        <w:ind w:firstLine="540"/>
        <w:jc w:val="both"/>
      </w:pPr>
      <w:r>
        <w:t xml:space="preserve">в </w:t>
      </w:r>
      <w:hyperlink w:anchor="P273" w:history="1">
        <w:r>
          <w:rPr>
            <w:color w:val="0000FF"/>
          </w:rPr>
          <w:t>графе 6</w:t>
        </w:r>
      </w:hyperlink>
      <w:r>
        <w:t xml:space="preserve"> - код формы бюджетной (бухгалтерской) отчетности, в которой обнаружена ошибка;</w:t>
      </w:r>
    </w:p>
    <w:p w:rsidR="00DE0ACF" w:rsidRDefault="00DE0ACF">
      <w:pPr>
        <w:pStyle w:val="ConsPlusNormal"/>
        <w:ind w:firstLine="540"/>
        <w:jc w:val="both"/>
      </w:pPr>
      <w:r>
        <w:t xml:space="preserve">в </w:t>
      </w:r>
      <w:hyperlink w:anchor="P274" w:history="1">
        <w:r>
          <w:rPr>
            <w:color w:val="0000FF"/>
          </w:rPr>
          <w:t>графе 7</w:t>
        </w:r>
      </w:hyperlink>
      <w:r>
        <w:t xml:space="preserve"> - код ошибки, отраженный в Протоколе контроля, тип проводимого контроля (форматного, внутридокументного, междокументного и внешнего контроля);</w:t>
      </w:r>
    </w:p>
    <w:p w:rsidR="00DE0ACF" w:rsidRDefault="00DE0ACF">
      <w:pPr>
        <w:pStyle w:val="ConsPlusNormal"/>
        <w:ind w:firstLine="540"/>
        <w:jc w:val="both"/>
      </w:pPr>
      <w:r>
        <w:lastRenderedPageBreak/>
        <w:t xml:space="preserve">в </w:t>
      </w:r>
      <w:hyperlink w:anchor="P275" w:history="1">
        <w:r>
          <w:rPr>
            <w:color w:val="0000FF"/>
          </w:rPr>
          <w:t>графе 8</w:t>
        </w:r>
      </w:hyperlink>
      <w:r>
        <w:t xml:space="preserve"> - обосновывающий необходимость дополнительного контроля и анализа комментарий ТОФК.</w:t>
      </w:r>
    </w:p>
    <w:p w:rsidR="00DE0ACF" w:rsidRDefault="00DE0ACF">
      <w:pPr>
        <w:pStyle w:val="ConsPlusNormal"/>
        <w:ind w:firstLine="540"/>
        <w:jc w:val="both"/>
      </w:pPr>
      <w:r>
        <w:t xml:space="preserve">В </w:t>
      </w:r>
      <w:hyperlink w:anchor="P301" w:history="1">
        <w:r>
          <w:rPr>
            <w:color w:val="0000FF"/>
          </w:rPr>
          <w:t>разделе 3</w:t>
        </w:r>
      </w:hyperlink>
      <w:r>
        <w:t xml:space="preserve"> Сведений подлежит раскрытию информация о выявленных несоответствиях показателей Отчетности и данных классификаторов и справочников, используемых в Подсистеме.</w:t>
      </w:r>
    </w:p>
    <w:p w:rsidR="00DE0ACF" w:rsidRDefault="00DE0ACF">
      <w:pPr>
        <w:pStyle w:val="ConsPlusNormal"/>
        <w:ind w:firstLine="540"/>
        <w:jc w:val="both"/>
      </w:pPr>
      <w:r>
        <w:t>По разделу 3 Сведений указывается:</w:t>
      </w:r>
    </w:p>
    <w:p w:rsidR="00DE0ACF" w:rsidRDefault="00DE0ACF">
      <w:pPr>
        <w:pStyle w:val="ConsPlusNormal"/>
        <w:ind w:firstLine="540"/>
        <w:jc w:val="both"/>
      </w:pPr>
      <w:r>
        <w:t xml:space="preserve">в </w:t>
      </w:r>
      <w:hyperlink w:anchor="P319" w:history="1">
        <w:r>
          <w:rPr>
            <w:color w:val="0000FF"/>
          </w:rPr>
          <w:t>графе 6</w:t>
        </w:r>
      </w:hyperlink>
      <w:r>
        <w:t xml:space="preserve"> - код формы бюджетной (бухгалтерской) отчетности, в которой обнаружена ошибка;</w:t>
      </w:r>
    </w:p>
    <w:p w:rsidR="00DE0ACF" w:rsidRDefault="00DE0ACF">
      <w:pPr>
        <w:pStyle w:val="ConsPlusNormal"/>
        <w:ind w:firstLine="540"/>
        <w:jc w:val="both"/>
      </w:pPr>
      <w:r>
        <w:t xml:space="preserve">в </w:t>
      </w:r>
      <w:hyperlink w:anchor="P320" w:history="1">
        <w:r>
          <w:rPr>
            <w:color w:val="0000FF"/>
          </w:rPr>
          <w:t>графе 7</w:t>
        </w:r>
      </w:hyperlink>
      <w:r>
        <w:t xml:space="preserve"> - наименование классификатора или справочника Подсистемы, в наборе записей которого отсутствует показатель, указанный в </w:t>
      </w:r>
      <w:hyperlink w:anchor="P321" w:history="1">
        <w:r>
          <w:rPr>
            <w:color w:val="0000FF"/>
          </w:rPr>
          <w:t>графе 8</w:t>
        </w:r>
      </w:hyperlink>
      <w:r>
        <w:t>;</w:t>
      </w:r>
    </w:p>
    <w:p w:rsidR="00DE0ACF" w:rsidRDefault="00DE0ACF">
      <w:pPr>
        <w:pStyle w:val="ConsPlusNormal"/>
        <w:ind w:firstLine="540"/>
        <w:jc w:val="both"/>
      </w:pPr>
      <w:r>
        <w:t xml:space="preserve">в </w:t>
      </w:r>
      <w:hyperlink w:anchor="P321" w:history="1">
        <w:r>
          <w:rPr>
            <w:color w:val="0000FF"/>
          </w:rPr>
          <w:t>графе 8</w:t>
        </w:r>
      </w:hyperlink>
      <w:r>
        <w:t xml:space="preserve"> - код показателя, отсутствующего в классификаторе или справочнике, указанном в </w:t>
      </w:r>
      <w:hyperlink w:anchor="P320" w:history="1">
        <w:r>
          <w:rPr>
            <w:color w:val="0000FF"/>
          </w:rPr>
          <w:t>графе 7</w:t>
        </w:r>
      </w:hyperlink>
      <w:r>
        <w:t>;</w:t>
      </w:r>
    </w:p>
    <w:p w:rsidR="00DE0ACF" w:rsidRDefault="00DE0ACF">
      <w:pPr>
        <w:pStyle w:val="ConsPlusNormal"/>
        <w:ind w:firstLine="540"/>
        <w:jc w:val="both"/>
      </w:pPr>
      <w:r>
        <w:t xml:space="preserve">в </w:t>
      </w:r>
      <w:hyperlink w:anchor="P322" w:history="1">
        <w:r>
          <w:rPr>
            <w:color w:val="0000FF"/>
          </w:rPr>
          <w:t>графе 9</w:t>
        </w:r>
      </w:hyperlink>
      <w:r>
        <w:t xml:space="preserve"> - комментарий ТОФК, содержащий обоснование корректности (некорректности) применения субъектом мониторинга рассматриваемого показателя, а также, при наличии, идентификатор зарегистрированного обращения.</w:t>
      </w:r>
    </w:p>
    <w:p w:rsidR="00DE0ACF" w:rsidRDefault="00DE0ACF">
      <w:pPr>
        <w:pStyle w:val="ConsPlusNormal"/>
        <w:ind w:firstLine="540"/>
        <w:jc w:val="both"/>
      </w:pPr>
      <w:r>
        <w:t xml:space="preserve">В </w:t>
      </w:r>
      <w:hyperlink w:anchor="P351" w:history="1">
        <w:r>
          <w:rPr>
            <w:color w:val="0000FF"/>
          </w:rPr>
          <w:t>разделе 4</w:t>
        </w:r>
      </w:hyperlink>
      <w:r>
        <w:t xml:space="preserve"> Сведений подлежит раскрытию информация о невыполнении субъектом мониторинга обязательных требований по раскрытию информации в составе пояснительной записки к Отчетности.</w:t>
      </w:r>
    </w:p>
    <w:p w:rsidR="00DE0ACF" w:rsidRDefault="00DE0ACF">
      <w:pPr>
        <w:pStyle w:val="ConsPlusNormal"/>
        <w:ind w:firstLine="540"/>
        <w:jc w:val="both"/>
      </w:pPr>
      <w:r>
        <w:t>По разделу 4 указывается:</w:t>
      </w:r>
    </w:p>
    <w:p w:rsidR="00DE0ACF" w:rsidRDefault="00DE0ACF">
      <w:pPr>
        <w:pStyle w:val="ConsPlusNormal"/>
        <w:ind w:firstLine="540"/>
        <w:jc w:val="both"/>
      </w:pPr>
      <w:r>
        <w:t xml:space="preserve">в </w:t>
      </w:r>
      <w:hyperlink w:anchor="P367" w:history="1">
        <w:r>
          <w:rPr>
            <w:color w:val="0000FF"/>
          </w:rPr>
          <w:t>графе 6</w:t>
        </w:r>
      </w:hyperlink>
      <w:r>
        <w:t xml:space="preserve"> - ссылка на нормативный документ и (или) методический документ Минфина России и Федерального казначейства (номер, дата, пункт и т.п.), устанавливающие обязательные требования по раскрытию информации в составе пояснительной записки к Отчетности;</w:t>
      </w:r>
    </w:p>
    <w:p w:rsidR="00DE0ACF" w:rsidRDefault="00DE0ACF">
      <w:pPr>
        <w:pStyle w:val="ConsPlusNormal"/>
        <w:ind w:firstLine="540"/>
        <w:jc w:val="both"/>
      </w:pPr>
      <w:r>
        <w:t xml:space="preserve">в </w:t>
      </w:r>
      <w:hyperlink w:anchor="P368" w:history="1">
        <w:r>
          <w:rPr>
            <w:color w:val="0000FF"/>
          </w:rPr>
          <w:t>графе 7</w:t>
        </w:r>
      </w:hyperlink>
      <w:r>
        <w:t xml:space="preserve"> - комментарий ТОФК, содержащий обоснование выводов о невыполнении субъектом мониторинга обязательных требований по раскрытию информации в составе пояснительной записки к Отчетности.</w:t>
      </w:r>
    </w:p>
    <w:p w:rsidR="00DE0ACF" w:rsidRDefault="00DE0ACF">
      <w:pPr>
        <w:pStyle w:val="ConsPlusNormal"/>
        <w:ind w:firstLine="540"/>
        <w:jc w:val="both"/>
      </w:pPr>
      <w:r>
        <w:t xml:space="preserve">В </w:t>
      </w:r>
      <w:hyperlink w:anchor="P391" w:history="1">
        <w:r>
          <w:rPr>
            <w:color w:val="0000FF"/>
          </w:rPr>
          <w:t>разделе 5</w:t>
        </w:r>
      </w:hyperlink>
      <w:r>
        <w:t xml:space="preserve"> Сведений раскрывается информация о несоответствии показателей Отчетности субъектов мониторинга показателям бюджетных и денежных обязательств, учтенных соответствующим ТОФК.</w:t>
      </w:r>
    </w:p>
    <w:p w:rsidR="00DE0ACF" w:rsidRDefault="00DE0ACF">
      <w:pPr>
        <w:pStyle w:val="ConsPlusNormal"/>
        <w:ind w:firstLine="540"/>
        <w:jc w:val="both"/>
      </w:pPr>
      <w:r>
        <w:t>По разделу 5 указывается:</w:t>
      </w:r>
    </w:p>
    <w:p w:rsidR="00DE0ACF" w:rsidRDefault="00DE0ACF">
      <w:pPr>
        <w:pStyle w:val="ConsPlusNormal"/>
        <w:ind w:firstLine="540"/>
        <w:jc w:val="both"/>
      </w:pPr>
      <w:r>
        <w:t xml:space="preserve">в </w:t>
      </w:r>
      <w:hyperlink w:anchor="P408" w:history="1">
        <w:r>
          <w:rPr>
            <w:color w:val="0000FF"/>
          </w:rPr>
          <w:t>графах 6</w:t>
        </w:r>
      </w:hyperlink>
      <w:r>
        <w:t xml:space="preserve">, </w:t>
      </w:r>
      <w:hyperlink w:anchor="P409" w:history="1">
        <w:r>
          <w:rPr>
            <w:color w:val="0000FF"/>
          </w:rPr>
          <w:t>7</w:t>
        </w:r>
      </w:hyperlink>
      <w:r>
        <w:t xml:space="preserve"> - сумма расхождений показателей бюджетных и денежных обязательств, отраженных в Отчетности субъектов мониторинга и отчетности ТОФК, соответственно;</w:t>
      </w:r>
    </w:p>
    <w:p w:rsidR="00DE0ACF" w:rsidRDefault="00DE0ACF">
      <w:pPr>
        <w:pStyle w:val="ConsPlusNormal"/>
        <w:ind w:firstLine="540"/>
        <w:jc w:val="both"/>
      </w:pPr>
      <w:r>
        <w:t xml:space="preserve">в </w:t>
      </w:r>
      <w:hyperlink w:anchor="P410" w:history="1">
        <w:r>
          <w:rPr>
            <w:color w:val="0000FF"/>
          </w:rPr>
          <w:t>графе 8</w:t>
        </w:r>
      </w:hyperlink>
      <w:r>
        <w:t xml:space="preserve"> - комментарий ТОФК к выявленным расхождениям.</w:t>
      </w:r>
    </w:p>
    <w:p w:rsidR="00DE0ACF" w:rsidRDefault="00DE0ACF">
      <w:pPr>
        <w:pStyle w:val="ConsPlusNormal"/>
        <w:ind w:firstLine="540"/>
        <w:jc w:val="both"/>
      </w:pPr>
      <w:r>
        <w:t xml:space="preserve">Набор показателей </w:t>
      </w:r>
      <w:hyperlink w:anchor="P403" w:history="1">
        <w:r>
          <w:rPr>
            <w:color w:val="0000FF"/>
          </w:rPr>
          <w:t>граф 1</w:t>
        </w:r>
      </w:hyperlink>
      <w:r>
        <w:t xml:space="preserve">, </w:t>
      </w:r>
      <w:hyperlink w:anchor="P405" w:history="1">
        <w:r>
          <w:rPr>
            <w:color w:val="0000FF"/>
          </w:rPr>
          <w:t>3</w:t>
        </w:r>
      </w:hyperlink>
      <w:r>
        <w:t xml:space="preserve">, </w:t>
      </w:r>
      <w:hyperlink w:anchor="P407" w:history="1">
        <w:r>
          <w:rPr>
            <w:color w:val="0000FF"/>
          </w:rPr>
          <w:t>5</w:t>
        </w:r>
      </w:hyperlink>
      <w:r>
        <w:t xml:space="preserve"> образует уникальный идентификатор записи в пределах каждого раздела Сведений.</w:t>
      </w:r>
    </w:p>
    <w:p w:rsidR="00DE0ACF" w:rsidRDefault="00DE0ACF">
      <w:pPr>
        <w:pStyle w:val="ConsPlusNormal"/>
        <w:ind w:firstLine="540"/>
        <w:jc w:val="both"/>
      </w:pPr>
      <w:r>
        <w:t>2.6.2 Сведения подписываются заместителем руководителя ТОФК, курирующим деятельность Отдела финансового обеспечения ТОФК, и в срок не позднее двух рабочих дней до срока представления главным распорядителем средств федерального бюджета отчетности в МОУ ФК представляются:</w:t>
      </w:r>
    </w:p>
    <w:p w:rsidR="00DE0ACF" w:rsidRDefault="00DE0ACF">
      <w:pPr>
        <w:pStyle w:val="ConsPlusNormal"/>
        <w:ind w:firstLine="540"/>
        <w:jc w:val="both"/>
      </w:pPr>
      <w:r>
        <w:t>УФК по Белгородской области, УФК по Брянской области, УФК по Владимирской области, УФК по Воронежской области, УФК по Курской области - в УФК по Белгородской области;</w:t>
      </w:r>
    </w:p>
    <w:p w:rsidR="00DE0ACF" w:rsidRDefault="00DE0ACF">
      <w:pPr>
        <w:pStyle w:val="ConsPlusNormal"/>
        <w:ind w:firstLine="540"/>
        <w:jc w:val="both"/>
      </w:pPr>
      <w:r>
        <w:t>УФК по Ивановской области, УФК по Тверской области, УФК по Калужской области, УФК по Костромской области, УФК по Тамбовской области, УФК по Липецкой области - в УФК по Липецкой области;</w:t>
      </w:r>
    </w:p>
    <w:p w:rsidR="00DE0ACF" w:rsidRDefault="00DE0ACF">
      <w:pPr>
        <w:pStyle w:val="ConsPlusNormal"/>
        <w:ind w:firstLine="540"/>
        <w:jc w:val="both"/>
      </w:pPr>
      <w:r>
        <w:t>УФК по Московской области, УФК по Орловской области, УФК по Рязанской области, УФК по Смоленской области - в УФК по Московской области;</w:t>
      </w:r>
    </w:p>
    <w:p w:rsidR="00DE0ACF" w:rsidRDefault="00DE0ACF">
      <w:pPr>
        <w:pStyle w:val="ConsPlusNormal"/>
        <w:ind w:firstLine="540"/>
        <w:jc w:val="both"/>
      </w:pPr>
      <w:r>
        <w:t>УФК по Тульской области, УФК по Ярославской области, УФК по г. Москве - в УФК по г. Москве;</w:t>
      </w:r>
    </w:p>
    <w:p w:rsidR="00DE0ACF" w:rsidRDefault="00DE0ACF">
      <w:pPr>
        <w:pStyle w:val="ConsPlusNormal"/>
        <w:ind w:firstLine="540"/>
        <w:jc w:val="both"/>
      </w:pPr>
      <w:r>
        <w:t>УФК по Республике Карелия, УФК по Республике Коми, УФК по Архангельской области и Ненецкому автономному округу, УФК по Вологодской области, УФК по Мурманской области - в УФК по Архангельской области и Ненецкому автономному округу;</w:t>
      </w:r>
    </w:p>
    <w:p w:rsidR="00DE0ACF" w:rsidRDefault="00DE0ACF">
      <w:pPr>
        <w:pStyle w:val="ConsPlusNormal"/>
        <w:ind w:firstLine="540"/>
        <w:jc w:val="both"/>
      </w:pPr>
      <w:r>
        <w:t>УФК по Калининградской области, УФК по Ленинградской области, УФК по Новгородской области, УФК по Псковской области, УФК по г. Санкт-Петербургу - в УФК по г. Санкт-Петербургу;</w:t>
      </w:r>
    </w:p>
    <w:p w:rsidR="00DE0ACF" w:rsidRDefault="00DE0ACF">
      <w:pPr>
        <w:pStyle w:val="ConsPlusNormal"/>
        <w:ind w:firstLine="540"/>
        <w:jc w:val="both"/>
      </w:pPr>
      <w:r>
        <w:t>УФК по Республике Адыгея, УФК по Краснодарскому краю, УФК по Астраханской области - УФК по Краснодарскому краю;</w:t>
      </w:r>
    </w:p>
    <w:p w:rsidR="00DE0ACF" w:rsidRDefault="00DE0ACF">
      <w:pPr>
        <w:pStyle w:val="ConsPlusNormal"/>
        <w:ind w:firstLine="540"/>
        <w:jc w:val="both"/>
      </w:pPr>
      <w:r>
        <w:t>УФК по Волгоградской области, УФК по Ростовской области, УФК по Республике Калмыкия - в УФК по Ростовской области;</w:t>
      </w:r>
    </w:p>
    <w:p w:rsidR="00DE0ACF" w:rsidRDefault="00DE0ACF">
      <w:pPr>
        <w:pStyle w:val="ConsPlusNormal"/>
        <w:ind w:firstLine="540"/>
        <w:jc w:val="both"/>
      </w:pPr>
      <w:r>
        <w:t xml:space="preserve">УФК по Республике Дагестан, УФК по Кабардино-Балкарской Республике, УФК по Республике </w:t>
      </w:r>
      <w:r>
        <w:lastRenderedPageBreak/>
        <w:t>Северная Осетия - Алания, УФК по Республике Ингушетия, УФК по Ставропольскому краю, УФК по Карачаево-Черкесской Республике, УФК по Чеченской Республике - в УФК по Ставропольскому краю;</w:t>
      </w:r>
    </w:p>
    <w:p w:rsidR="00DE0ACF" w:rsidRDefault="00DE0ACF">
      <w:pPr>
        <w:pStyle w:val="ConsPlusNormal"/>
        <w:ind w:firstLine="540"/>
        <w:jc w:val="both"/>
      </w:pPr>
      <w:r>
        <w:t>УФК по Чувашской Республике, УФК по Республике Марий Эл, УФК по Республике Мордовия, УФК по Республике Татарстан - в УФК по Чувашской Республике;</w:t>
      </w:r>
    </w:p>
    <w:p w:rsidR="00DE0ACF" w:rsidRDefault="00DE0ACF">
      <w:pPr>
        <w:pStyle w:val="ConsPlusNormal"/>
        <w:ind w:firstLine="540"/>
        <w:jc w:val="both"/>
      </w:pPr>
      <w:r>
        <w:t>УФК по Нижегородской области, УФК по Кировской области, УФК по Саратовской области - в УФК по Нижегородской области;</w:t>
      </w:r>
    </w:p>
    <w:p w:rsidR="00DE0ACF" w:rsidRDefault="00DE0ACF">
      <w:pPr>
        <w:pStyle w:val="ConsPlusNormal"/>
        <w:ind w:firstLine="540"/>
        <w:jc w:val="both"/>
      </w:pPr>
      <w:r>
        <w:t>УФК по Самарской области, УФК по Оренбургской области, УФК по Удмуртской Республике, УФК по Ульяновской области - УФК по Оренбургской области;</w:t>
      </w:r>
    </w:p>
    <w:p w:rsidR="00DE0ACF" w:rsidRDefault="00DE0ACF">
      <w:pPr>
        <w:pStyle w:val="ConsPlusNormal"/>
        <w:ind w:firstLine="540"/>
        <w:jc w:val="both"/>
      </w:pPr>
      <w:r>
        <w:t>УФК по Пензенской области, УФК по Пермскому краю, УФК по Республике Башкортостан - в УФК по Пермскому краю;</w:t>
      </w:r>
    </w:p>
    <w:p w:rsidR="00DE0ACF" w:rsidRDefault="00DE0ACF">
      <w:pPr>
        <w:pStyle w:val="ConsPlusNormal"/>
        <w:ind w:firstLine="540"/>
        <w:jc w:val="both"/>
      </w:pPr>
      <w:r>
        <w:t>УФК по Курганской области, УФК по Тюменской области, УФК по Челябинской области - в УФК по Курганской области;</w:t>
      </w:r>
    </w:p>
    <w:p w:rsidR="00DE0ACF" w:rsidRDefault="00DE0ACF">
      <w:pPr>
        <w:pStyle w:val="ConsPlusNormal"/>
        <w:ind w:firstLine="540"/>
        <w:jc w:val="both"/>
      </w:pPr>
      <w:r>
        <w:t>УФК по Свердловской области, УФК по Ханты-Мансийскому автономному округу - Югре, УФК по Ямало-Ненецкому автономному округу - в УФК по Свердловской области;</w:t>
      </w:r>
    </w:p>
    <w:p w:rsidR="00DE0ACF" w:rsidRDefault="00DE0ACF">
      <w:pPr>
        <w:pStyle w:val="ConsPlusNormal"/>
        <w:ind w:firstLine="540"/>
        <w:jc w:val="both"/>
      </w:pPr>
      <w:r>
        <w:t>УФК по Республике Бурятия, УФК по Республике Тыва, УФК по Красноярскому краю, УФК по Забайкальскому краю - в УФК по Красноярскому краю;</w:t>
      </w:r>
    </w:p>
    <w:p w:rsidR="00DE0ACF" w:rsidRDefault="00DE0ACF">
      <w:pPr>
        <w:pStyle w:val="ConsPlusNormal"/>
        <w:ind w:firstLine="540"/>
        <w:jc w:val="both"/>
      </w:pPr>
      <w:r>
        <w:t>УФК по Кемеровской области, УФК по Иркутской области, УФК по Новосибирской области - в УФК по Кемеровской области;</w:t>
      </w:r>
    </w:p>
    <w:p w:rsidR="00DE0ACF" w:rsidRDefault="00DE0ACF">
      <w:pPr>
        <w:pStyle w:val="ConsPlusNormal"/>
        <w:ind w:firstLine="540"/>
        <w:jc w:val="both"/>
      </w:pPr>
      <w:r>
        <w:t>УФК по Омской области, УФК по Томской области, УФК по Республике Алтай, УФК по Республике Хакасия, УФК по Алтайскому краю - в УФК по Омской области;</w:t>
      </w:r>
    </w:p>
    <w:p w:rsidR="00DE0ACF" w:rsidRDefault="00DE0ACF">
      <w:pPr>
        <w:pStyle w:val="ConsPlusNormal"/>
        <w:ind w:firstLine="540"/>
        <w:jc w:val="both"/>
      </w:pPr>
      <w:r>
        <w:t>УФК по Республике Саха (Якутия), УФК по Магаданской области, УФК по Еврейской автономной области, УФК по Чукотскому автономному округу, УФК по Камчатскому краю, УФК по Сахалинской области - в УФК по Республике Саха (Якутия);</w:t>
      </w:r>
    </w:p>
    <w:p w:rsidR="00DE0ACF" w:rsidRDefault="00DE0ACF">
      <w:pPr>
        <w:pStyle w:val="ConsPlusNormal"/>
        <w:ind w:firstLine="540"/>
        <w:jc w:val="both"/>
      </w:pPr>
      <w:r>
        <w:t>УФК по Хабаровскому краю, УФК по Амурской области, УФК по Приморскому краю - в УФК по Приморскому краю;</w:t>
      </w:r>
    </w:p>
    <w:p w:rsidR="00DE0ACF" w:rsidRDefault="00DE0ACF">
      <w:pPr>
        <w:pStyle w:val="ConsPlusNormal"/>
        <w:ind w:firstLine="540"/>
        <w:jc w:val="both"/>
      </w:pPr>
      <w:r>
        <w:t>УФК по г. Севастополю, УФК по Республике Крым - в УФК по Республике Крым.</w:t>
      </w:r>
    </w:p>
    <w:p w:rsidR="00DE0ACF" w:rsidRDefault="00DE0ACF">
      <w:pPr>
        <w:pStyle w:val="ConsPlusNormal"/>
        <w:ind w:firstLine="540"/>
        <w:jc w:val="both"/>
      </w:pPr>
      <w:r>
        <w:t>2.7 Отделы финансового обеспечения и Отделы бюджетного учета и отчетности по операциям бюджетов управлений Федерального казначейства по Белгородской области, Липецкой области, Московской области, г. Москве, Архангельской области и Ненецкому автономному округу, г. Санкт-Петербургу, Краснодарскому краю, Ростовской области, Ставропольскому краю, Чувашской Республике, Нижегородской области, Оренбургской области, Пермскому краю, Курганской области, Свердловской области, Красноярскому краю, Кемеровской области, Омской области, Республике Саха (Якутия), Приморскому краю, Республике Крым (далее - Центры компетенции) соответственно осуществляют анализ и обобщение представленных Сведений в разрезе главных администраторов средств федерального бюджета путем:</w:t>
      </w:r>
    </w:p>
    <w:p w:rsidR="00DE0ACF" w:rsidRDefault="00DE0ACF">
      <w:pPr>
        <w:pStyle w:val="ConsPlusNormal"/>
        <w:ind w:firstLine="540"/>
        <w:jc w:val="both"/>
      </w:pPr>
      <w:r>
        <w:t>оценки допустимости выявленных ТОФК арифметических и логических ошибок в показателях Отчетности субъектов мониторинга;</w:t>
      </w:r>
    </w:p>
    <w:p w:rsidR="00DE0ACF" w:rsidRDefault="00DE0ACF">
      <w:pPr>
        <w:pStyle w:val="ConsPlusNormal"/>
        <w:ind w:firstLine="540"/>
        <w:jc w:val="both"/>
      </w:pPr>
      <w:r>
        <w:t>оценки фактов невыполнения субъектами мониторинга обязательных требований по раскрытию информации в составе пояснительной записки к Отчетности;</w:t>
      </w:r>
    </w:p>
    <w:p w:rsidR="00DE0ACF" w:rsidRDefault="00DE0ACF">
      <w:pPr>
        <w:pStyle w:val="ConsPlusNormal"/>
        <w:ind w:firstLine="540"/>
        <w:jc w:val="both"/>
      </w:pPr>
      <w:r>
        <w:t>оценки допустимости отклонений показателей Отчетности субъектов мониторинга от показателей кассового исполнения федерального бюджета, а также показателей утвержденных и (или) доведенных бюджетных данных отраженным на лицевых счетах субъектов мониторинга, открытых в соответствующем ТОФК;</w:t>
      </w:r>
    </w:p>
    <w:p w:rsidR="00DE0ACF" w:rsidRDefault="00DE0ACF">
      <w:pPr>
        <w:pStyle w:val="ConsPlusNormal"/>
        <w:ind w:firstLine="540"/>
        <w:jc w:val="both"/>
      </w:pPr>
      <w:r>
        <w:t>оценки допустимости отклонения показателей Отчетности субъектов мониторинга от показателей бюджетных и денежных обязательств, учтенных соответствующим ТОФК.</w:t>
      </w:r>
    </w:p>
    <w:p w:rsidR="00DE0ACF" w:rsidRDefault="00DE0ACF">
      <w:pPr>
        <w:pStyle w:val="ConsPlusNormal"/>
        <w:ind w:firstLine="540"/>
        <w:jc w:val="both"/>
      </w:pPr>
      <w:r>
        <w:t>По результатам анализа и обобщения представленных Сведений ТОФК, являющийся Центром компетенции, формирует Сведения с типом "сводные" (далее - Сводные сведения).</w:t>
      </w:r>
    </w:p>
    <w:p w:rsidR="00DE0ACF" w:rsidRDefault="00DE0ACF">
      <w:pPr>
        <w:pStyle w:val="ConsPlusNormal"/>
        <w:ind w:firstLine="540"/>
        <w:jc w:val="both"/>
      </w:pPr>
      <w:r>
        <w:t>Формирование Сводных сведений осуществляется в Подсистеме.</w:t>
      </w:r>
    </w:p>
    <w:p w:rsidR="00DE0ACF" w:rsidRDefault="00DE0ACF">
      <w:pPr>
        <w:pStyle w:val="ConsPlusNormal"/>
        <w:ind w:firstLine="540"/>
        <w:jc w:val="both"/>
      </w:pPr>
      <w:r>
        <w:t>Сформированные ТОФК, являющимся Центром компетенции, Сводные сведения подписываются заместителем руководителя ТОФК, являющегося Центром компетенции, курирующим деятельность Отдела финансового обеспечения, и в срок не позднее двух рабочих дней со дня представления Сведений ТОФК представляется в МОУ ФК.</w:t>
      </w:r>
    </w:p>
    <w:p w:rsidR="00DE0ACF" w:rsidRDefault="00DE0ACF">
      <w:pPr>
        <w:pStyle w:val="ConsPlusNormal"/>
        <w:ind w:firstLine="540"/>
        <w:jc w:val="both"/>
      </w:pPr>
      <w:r>
        <w:t xml:space="preserve">2.8 На основании представленных ТОФК - Центрами компетенции Сводных сведений Отдел </w:t>
      </w:r>
      <w:r>
        <w:lastRenderedPageBreak/>
        <w:t>отчетности об исполнении федерального бюджета МОУ ФК формирует Сведения с типом "консолидированные" (далее - Консолидированные сведения) отдельно по каждому главному администратору средств федерального бюджета.</w:t>
      </w:r>
    </w:p>
    <w:p w:rsidR="00DE0ACF" w:rsidRDefault="00DE0ACF">
      <w:pPr>
        <w:pStyle w:val="ConsPlusNormal"/>
        <w:ind w:firstLine="540"/>
        <w:jc w:val="both"/>
      </w:pPr>
      <w:r>
        <w:t>Сформированные Отделом отчетности об исполнении федерального бюджета МОУ ФК Консолидированные сведения подписываются заместителем руководителя МОУ ФК, курирующим деятельность Отдела отчетности об исполнении федерального бюджета, и в срок не позднее двух рабочих дней представляются Федеральному казначейству.</w:t>
      </w:r>
    </w:p>
    <w:p w:rsidR="00DE0ACF" w:rsidRDefault="00DE0ACF">
      <w:pPr>
        <w:pStyle w:val="ConsPlusNormal"/>
        <w:ind w:firstLine="540"/>
        <w:jc w:val="both"/>
      </w:pPr>
      <w:r>
        <w:t>2.9 С учетом показателей Консолидированных сведений Отдел отчетности об исполнении федерального бюджета МОУ ФК осуществляет проверку и анализ сводной (консолидированной) Отчетности, представляемой соответствующим главным администратором средств федерального бюджета в МОУ ФК, путем:</w:t>
      </w:r>
    </w:p>
    <w:p w:rsidR="00DE0ACF" w:rsidRDefault="00DE0ACF">
      <w:pPr>
        <w:pStyle w:val="ConsPlusNormal"/>
        <w:ind w:firstLine="540"/>
        <w:jc w:val="both"/>
      </w:pPr>
      <w:r>
        <w:t>оценки допустимости арифметических и логических ошибок в показателях Отчетности субъектов мониторинга;</w:t>
      </w:r>
    </w:p>
    <w:p w:rsidR="00DE0ACF" w:rsidRDefault="00DE0ACF">
      <w:pPr>
        <w:pStyle w:val="ConsPlusNormal"/>
        <w:ind w:firstLine="540"/>
        <w:jc w:val="both"/>
      </w:pPr>
      <w:r>
        <w:t>оценки фактов невыполнения субъектами мониторинга обязательных требований по раскрытию информации в составе пояснительной записки к Отчетности;</w:t>
      </w:r>
    </w:p>
    <w:p w:rsidR="00DE0ACF" w:rsidRDefault="00DE0ACF">
      <w:pPr>
        <w:pStyle w:val="ConsPlusNormal"/>
        <w:ind w:firstLine="540"/>
        <w:jc w:val="both"/>
      </w:pPr>
      <w:r>
        <w:t>оценки допустимости отклонений показателей Отчетности субъектов мониторинга от показателей кассового исполнения федерального бюджета, а также показателей утвержденных и (или) доведенных бюджетных данных отраженным на лицевых счетах субъектов мониторинга, открытых в соответствующем ТОФК;</w:t>
      </w:r>
    </w:p>
    <w:p w:rsidR="00DE0ACF" w:rsidRDefault="00DE0ACF">
      <w:pPr>
        <w:pStyle w:val="ConsPlusNormal"/>
        <w:ind w:firstLine="540"/>
        <w:jc w:val="both"/>
      </w:pPr>
      <w:r>
        <w:t>оценки допустимости отклонения показателей Отчетности субъектов мониторинга от показателей бюджетных и денежных обязательств, учтенных соответствующим ТОФК.</w:t>
      </w: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pPr>
    </w:p>
    <w:p w:rsidR="00DE0ACF" w:rsidRDefault="00DE0ACF">
      <w:pPr>
        <w:pStyle w:val="ConsPlusNormal"/>
        <w:jc w:val="right"/>
        <w:outlineLvl w:val="1"/>
      </w:pPr>
      <w:r>
        <w:t>Приложение</w:t>
      </w:r>
    </w:p>
    <w:p w:rsidR="00DE0ACF" w:rsidRDefault="00DE0ACF">
      <w:pPr>
        <w:pStyle w:val="ConsPlusNormal"/>
        <w:jc w:val="right"/>
      </w:pPr>
      <w:r>
        <w:t>к Порядку мониторинга</w:t>
      </w:r>
    </w:p>
    <w:p w:rsidR="00DE0ACF" w:rsidRDefault="00DE0ACF">
      <w:pPr>
        <w:pStyle w:val="ConsPlusNormal"/>
        <w:jc w:val="right"/>
      </w:pPr>
      <w:r>
        <w:t>Федеральным казначейством</w:t>
      </w:r>
    </w:p>
    <w:p w:rsidR="00DE0ACF" w:rsidRDefault="00DE0ACF">
      <w:pPr>
        <w:pStyle w:val="ConsPlusNormal"/>
        <w:jc w:val="right"/>
      </w:pPr>
      <w:r>
        <w:t>информации, представляемой</w:t>
      </w:r>
    </w:p>
    <w:p w:rsidR="00DE0ACF" w:rsidRDefault="00DE0ACF">
      <w:pPr>
        <w:pStyle w:val="ConsPlusNormal"/>
        <w:jc w:val="right"/>
      </w:pPr>
      <w:r>
        <w:t>в подсистему "Учет и отчетность"</w:t>
      </w:r>
    </w:p>
    <w:p w:rsidR="00DE0ACF" w:rsidRDefault="00DE0ACF">
      <w:pPr>
        <w:pStyle w:val="ConsPlusNormal"/>
        <w:jc w:val="right"/>
      </w:pPr>
      <w:r>
        <w:t>государственной интегрированной</w:t>
      </w:r>
    </w:p>
    <w:p w:rsidR="00DE0ACF" w:rsidRDefault="00DE0ACF">
      <w:pPr>
        <w:pStyle w:val="ConsPlusNormal"/>
        <w:jc w:val="right"/>
      </w:pPr>
      <w:r>
        <w:t>информационной системы управления</w:t>
      </w:r>
    </w:p>
    <w:p w:rsidR="00DE0ACF" w:rsidRDefault="00DE0ACF">
      <w:pPr>
        <w:pStyle w:val="ConsPlusNormal"/>
        <w:jc w:val="right"/>
      </w:pPr>
      <w:r>
        <w:t>общественными финансами "Электронный</w:t>
      </w:r>
    </w:p>
    <w:p w:rsidR="00DE0ACF" w:rsidRDefault="00DE0ACF">
      <w:pPr>
        <w:pStyle w:val="ConsPlusNormal"/>
        <w:jc w:val="right"/>
      </w:pPr>
      <w:r>
        <w:t>бюджет", утвержденному приказом</w:t>
      </w:r>
    </w:p>
    <w:p w:rsidR="00DE0ACF" w:rsidRDefault="00DE0ACF">
      <w:pPr>
        <w:pStyle w:val="ConsPlusNormal"/>
        <w:jc w:val="right"/>
      </w:pPr>
      <w:r>
        <w:t>Федерального казначейства</w:t>
      </w:r>
    </w:p>
    <w:p w:rsidR="00DE0ACF" w:rsidRDefault="00DE0ACF">
      <w:pPr>
        <w:pStyle w:val="ConsPlusNormal"/>
        <w:jc w:val="right"/>
      </w:pPr>
      <w:r>
        <w:t>от 30 декабря 2016 г. N 512</w:t>
      </w:r>
    </w:p>
    <w:p w:rsidR="00DE0ACF" w:rsidRDefault="00DE0ACF">
      <w:pPr>
        <w:pStyle w:val="ConsPlusNormal"/>
        <w:jc w:val="right"/>
      </w:pPr>
    </w:p>
    <w:p w:rsidR="00DE0ACF" w:rsidRDefault="00DE0ACF">
      <w:pPr>
        <w:pStyle w:val="ConsPlusNonformat"/>
        <w:jc w:val="both"/>
      </w:pPr>
      <w:bookmarkStart w:id="3" w:name="P175"/>
      <w:bookmarkEnd w:id="3"/>
      <w:r>
        <w:t xml:space="preserve">              Сведения о результатах мониторинга информации,</w:t>
      </w:r>
    </w:p>
    <w:p w:rsidR="00DE0ACF" w:rsidRDefault="00DE0ACF">
      <w:pPr>
        <w:pStyle w:val="ConsPlusNonformat"/>
        <w:jc w:val="both"/>
      </w:pPr>
      <w:r>
        <w:t xml:space="preserve">              представляемой в подсистему "Учет и отчетность"</w:t>
      </w:r>
    </w:p>
    <w:p w:rsidR="00DE0ACF" w:rsidRDefault="00DE0ACF">
      <w:pPr>
        <w:pStyle w:val="ConsPlusNonformat"/>
        <w:jc w:val="both"/>
      </w:pPr>
      <w:r>
        <w:t xml:space="preserve">                         ГИИС "Электронный бюджет"</w:t>
      </w:r>
    </w:p>
    <w:p w:rsidR="00DE0ACF" w:rsidRDefault="00DE0ACF">
      <w:pPr>
        <w:pStyle w:val="ConsPlusNonformat"/>
        <w:jc w:val="both"/>
      </w:pPr>
    </w:p>
    <w:p w:rsidR="00DE0ACF" w:rsidRDefault="00DE0ACF">
      <w:pPr>
        <w:pStyle w:val="ConsPlusNonformat"/>
        <w:jc w:val="both"/>
      </w:pPr>
      <w:r>
        <w:t xml:space="preserve">                        на _______________________</w:t>
      </w:r>
    </w:p>
    <w:p w:rsidR="00DE0ACF" w:rsidRDefault="00DE0ACF">
      <w:pPr>
        <w:pStyle w:val="ConsPlusNonformat"/>
        <w:jc w:val="both"/>
      </w:pPr>
    </w:p>
    <w:p w:rsidR="00DE0ACF" w:rsidRDefault="00DE0ACF">
      <w:pPr>
        <w:pStyle w:val="ConsPlusNonformat"/>
        <w:jc w:val="both"/>
      </w:pPr>
      <w:r>
        <w:t xml:space="preserve">             Периодичность _____________________________________</w:t>
      </w:r>
    </w:p>
    <w:p w:rsidR="00DE0ACF" w:rsidRDefault="00DE0ACF">
      <w:pPr>
        <w:pStyle w:val="ConsPlusNonformat"/>
        <w:jc w:val="both"/>
      </w:pPr>
      <w:r>
        <w:t xml:space="preserve">                              (месячная, квартальная, годовая)</w:t>
      </w:r>
    </w:p>
    <w:p w:rsidR="00DE0ACF" w:rsidRDefault="00DE0ACF">
      <w:pPr>
        <w:pStyle w:val="ConsPlusNonformat"/>
        <w:jc w:val="both"/>
      </w:pPr>
    </w:p>
    <w:p w:rsidR="00DE0ACF" w:rsidRDefault="00DE0ACF">
      <w:pPr>
        <w:pStyle w:val="ConsPlusNonformat"/>
        <w:jc w:val="both"/>
      </w:pPr>
      <w:r>
        <w:t xml:space="preserve">              Тип сведений _____________________________________</w:t>
      </w:r>
    </w:p>
    <w:p w:rsidR="00DE0ACF" w:rsidRDefault="00DE0ACF">
      <w:pPr>
        <w:pStyle w:val="ConsPlusNonformat"/>
        <w:jc w:val="both"/>
      </w:pPr>
      <w:r>
        <w:t xml:space="preserve">                           (по ТОФК, сводные, консолидированные)</w:t>
      </w:r>
    </w:p>
    <w:p w:rsidR="00DE0ACF" w:rsidRDefault="00DE0ACF">
      <w:pPr>
        <w:pStyle w:val="ConsPlusNonformat"/>
        <w:jc w:val="both"/>
      </w:pPr>
    </w:p>
    <w:p w:rsidR="00DE0ACF" w:rsidRDefault="00DE0ACF">
      <w:pPr>
        <w:pStyle w:val="ConsPlusNonformat"/>
        <w:jc w:val="both"/>
      </w:pPr>
      <w:r>
        <w:t xml:space="preserve">              Наименование территориального</w:t>
      </w:r>
    </w:p>
    <w:p w:rsidR="00DE0ACF" w:rsidRDefault="00DE0ACF">
      <w:pPr>
        <w:pStyle w:val="ConsPlusNonformat"/>
        <w:jc w:val="both"/>
      </w:pPr>
      <w:r>
        <w:t xml:space="preserve">           органа Федерального казначейства ____________________</w:t>
      </w:r>
    </w:p>
    <w:p w:rsidR="00DE0ACF" w:rsidRDefault="00DE0ACF">
      <w:pPr>
        <w:pStyle w:val="ConsPlusNormal"/>
        <w:jc w:val="center"/>
      </w:pPr>
    </w:p>
    <w:p w:rsidR="00DE0ACF" w:rsidRDefault="00DE0ACF">
      <w:pPr>
        <w:pStyle w:val="ConsPlusNormal"/>
        <w:ind w:firstLine="540"/>
        <w:jc w:val="both"/>
        <w:outlineLvl w:val="2"/>
      </w:pPr>
      <w:bookmarkStart w:id="4" w:name="P190"/>
      <w:bookmarkEnd w:id="4"/>
      <w:r>
        <w:t>1. Общие сведения</w:t>
      </w:r>
    </w:p>
    <w:p w:rsidR="00DE0ACF" w:rsidRDefault="00DE0ACF">
      <w:pPr>
        <w:sectPr w:rsidR="00DE0ACF" w:rsidSect="00804784">
          <w:pgSz w:w="11906" w:h="16838"/>
          <w:pgMar w:top="1134" w:right="850" w:bottom="1134" w:left="1701" w:header="708" w:footer="708" w:gutter="0"/>
          <w:cols w:space="708"/>
          <w:docGrid w:linePitch="360"/>
        </w:sectPr>
      </w:pPr>
    </w:p>
    <w:p w:rsidR="00DE0ACF" w:rsidRDefault="00DE0ACF">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44"/>
        <w:gridCol w:w="737"/>
        <w:gridCol w:w="1134"/>
        <w:gridCol w:w="1176"/>
        <w:gridCol w:w="1134"/>
        <w:gridCol w:w="1304"/>
        <w:gridCol w:w="907"/>
        <w:gridCol w:w="1247"/>
        <w:gridCol w:w="1644"/>
        <w:gridCol w:w="1531"/>
        <w:gridCol w:w="1531"/>
      </w:tblGrid>
      <w:tr w:rsidR="00DE0ACF">
        <w:tc>
          <w:tcPr>
            <w:tcW w:w="1911" w:type="dxa"/>
            <w:gridSpan w:val="2"/>
            <w:tcBorders>
              <w:left w:val="nil"/>
            </w:tcBorders>
            <w:vAlign w:val="center"/>
          </w:tcPr>
          <w:p w:rsidR="00DE0ACF" w:rsidRDefault="00DE0ACF">
            <w:pPr>
              <w:pStyle w:val="ConsPlusNormal"/>
              <w:jc w:val="center"/>
            </w:pPr>
            <w:r>
              <w:t>Глава по БК</w:t>
            </w:r>
          </w:p>
        </w:tc>
        <w:tc>
          <w:tcPr>
            <w:tcW w:w="3047" w:type="dxa"/>
            <w:gridSpan w:val="3"/>
            <w:vAlign w:val="center"/>
          </w:tcPr>
          <w:p w:rsidR="00DE0ACF" w:rsidRDefault="00DE0ACF">
            <w:pPr>
              <w:pStyle w:val="ConsPlusNormal"/>
              <w:jc w:val="center"/>
            </w:pPr>
            <w:r>
              <w:t>УБП/НУБП</w:t>
            </w:r>
          </w:p>
        </w:tc>
        <w:tc>
          <w:tcPr>
            <w:tcW w:w="1134" w:type="dxa"/>
            <w:vMerge w:val="restart"/>
            <w:vAlign w:val="center"/>
          </w:tcPr>
          <w:p w:rsidR="00DE0ACF" w:rsidRDefault="00DE0ACF">
            <w:pPr>
              <w:pStyle w:val="ConsPlusNormal"/>
              <w:jc w:val="center"/>
            </w:pPr>
            <w:r>
              <w:t>Состав информации</w:t>
            </w:r>
          </w:p>
        </w:tc>
        <w:tc>
          <w:tcPr>
            <w:tcW w:w="2211" w:type="dxa"/>
            <w:gridSpan w:val="2"/>
            <w:vAlign w:val="center"/>
          </w:tcPr>
          <w:p w:rsidR="00DE0ACF" w:rsidRDefault="00DE0ACF">
            <w:pPr>
              <w:pStyle w:val="ConsPlusNormal"/>
              <w:jc w:val="center"/>
            </w:pPr>
            <w:r>
              <w:t>Срок представления информации</w:t>
            </w:r>
          </w:p>
        </w:tc>
        <w:tc>
          <w:tcPr>
            <w:tcW w:w="1247" w:type="dxa"/>
            <w:vMerge w:val="restart"/>
            <w:vAlign w:val="center"/>
          </w:tcPr>
          <w:p w:rsidR="00DE0ACF" w:rsidRDefault="00DE0ACF">
            <w:pPr>
              <w:pStyle w:val="ConsPlusNormal"/>
              <w:jc w:val="center"/>
            </w:pPr>
            <w:r>
              <w:t>Наличие арифметических и логических ошибок</w:t>
            </w:r>
          </w:p>
        </w:tc>
        <w:tc>
          <w:tcPr>
            <w:tcW w:w="1644" w:type="dxa"/>
            <w:vMerge w:val="restart"/>
            <w:vAlign w:val="center"/>
          </w:tcPr>
          <w:p w:rsidR="00DE0ACF" w:rsidRDefault="00DE0ACF">
            <w:pPr>
              <w:pStyle w:val="ConsPlusNormal"/>
              <w:jc w:val="center"/>
            </w:pPr>
            <w:r>
              <w:t>Соответствие показателей данным классификаторов и справочников</w:t>
            </w:r>
          </w:p>
        </w:tc>
        <w:tc>
          <w:tcPr>
            <w:tcW w:w="1531" w:type="dxa"/>
            <w:vMerge w:val="restart"/>
            <w:vAlign w:val="center"/>
          </w:tcPr>
          <w:p w:rsidR="00DE0ACF" w:rsidRDefault="00DE0ACF">
            <w:pPr>
              <w:pStyle w:val="ConsPlusNormal"/>
              <w:jc w:val="center"/>
            </w:pPr>
            <w:r>
              <w:t>Раскрытие информации в составе пояснительной записки</w:t>
            </w:r>
          </w:p>
        </w:tc>
        <w:tc>
          <w:tcPr>
            <w:tcW w:w="1531" w:type="dxa"/>
            <w:vMerge w:val="restart"/>
            <w:tcBorders>
              <w:right w:val="nil"/>
            </w:tcBorders>
            <w:vAlign w:val="center"/>
          </w:tcPr>
          <w:p w:rsidR="00DE0ACF" w:rsidRDefault="00DE0ACF">
            <w:pPr>
              <w:pStyle w:val="ConsPlusNormal"/>
              <w:jc w:val="center"/>
            </w:pPr>
            <w:r>
              <w:t>Соответствие показателей бюджетных и денежных обязательств</w:t>
            </w:r>
          </w:p>
        </w:tc>
      </w:tr>
      <w:tr w:rsidR="00DE0ACF">
        <w:tc>
          <w:tcPr>
            <w:tcW w:w="567" w:type="dxa"/>
            <w:tcBorders>
              <w:left w:val="nil"/>
            </w:tcBorders>
            <w:vAlign w:val="center"/>
          </w:tcPr>
          <w:p w:rsidR="00DE0ACF" w:rsidRDefault="00DE0ACF">
            <w:pPr>
              <w:pStyle w:val="ConsPlusNormal"/>
              <w:jc w:val="center"/>
            </w:pPr>
            <w:r>
              <w:t>Код</w:t>
            </w:r>
          </w:p>
        </w:tc>
        <w:tc>
          <w:tcPr>
            <w:tcW w:w="1344" w:type="dxa"/>
            <w:vAlign w:val="center"/>
          </w:tcPr>
          <w:p w:rsidR="00DE0ACF" w:rsidRDefault="00DE0ACF">
            <w:pPr>
              <w:pStyle w:val="ConsPlusNormal"/>
              <w:jc w:val="center"/>
            </w:pPr>
            <w:r>
              <w:t>Наименование</w:t>
            </w:r>
          </w:p>
        </w:tc>
        <w:tc>
          <w:tcPr>
            <w:tcW w:w="737" w:type="dxa"/>
            <w:vAlign w:val="center"/>
          </w:tcPr>
          <w:p w:rsidR="00DE0ACF" w:rsidRDefault="00DE0ACF">
            <w:pPr>
              <w:pStyle w:val="ConsPlusNormal"/>
              <w:jc w:val="center"/>
            </w:pPr>
            <w:r>
              <w:t>Код</w:t>
            </w:r>
          </w:p>
        </w:tc>
        <w:tc>
          <w:tcPr>
            <w:tcW w:w="1134" w:type="dxa"/>
            <w:vAlign w:val="center"/>
          </w:tcPr>
          <w:p w:rsidR="00DE0ACF" w:rsidRDefault="00DE0ACF">
            <w:pPr>
              <w:pStyle w:val="ConsPlusNormal"/>
              <w:jc w:val="center"/>
            </w:pPr>
            <w:r>
              <w:t>Наименование</w:t>
            </w:r>
          </w:p>
        </w:tc>
        <w:tc>
          <w:tcPr>
            <w:tcW w:w="1176" w:type="dxa"/>
            <w:vAlign w:val="center"/>
          </w:tcPr>
          <w:p w:rsidR="00DE0ACF" w:rsidRDefault="00DE0ACF">
            <w:pPr>
              <w:pStyle w:val="ConsPlusNormal"/>
              <w:jc w:val="center"/>
            </w:pPr>
            <w:r>
              <w:t>Код типа субъекта мониторинга</w:t>
            </w:r>
          </w:p>
        </w:tc>
        <w:tc>
          <w:tcPr>
            <w:tcW w:w="1134" w:type="dxa"/>
            <w:vMerge/>
          </w:tcPr>
          <w:p w:rsidR="00DE0ACF" w:rsidRDefault="00DE0ACF"/>
        </w:tc>
        <w:tc>
          <w:tcPr>
            <w:tcW w:w="1304" w:type="dxa"/>
            <w:vAlign w:val="center"/>
          </w:tcPr>
          <w:p w:rsidR="00DE0ACF" w:rsidRDefault="00DE0ACF">
            <w:pPr>
              <w:pStyle w:val="ConsPlusNormal"/>
              <w:jc w:val="center"/>
            </w:pPr>
            <w:r>
              <w:t>регламентированный</w:t>
            </w:r>
          </w:p>
        </w:tc>
        <w:tc>
          <w:tcPr>
            <w:tcW w:w="907" w:type="dxa"/>
            <w:vAlign w:val="center"/>
          </w:tcPr>
          <w:p w:rsidR="00DE0ACF" w:rsidRDefault="00DE0ACF">
            <w:pPr>
              <w:pStyle w:val="ConsPlusNormal"/>
              <w:jc w:val="center"/>
            </w:pPr>
            <w:r>
              <w:t>фактический</w:t>
            </w:r>
          </w:p>
        </w:tc>
        <w:tc>
          <w:tcPr>
            <w:tcW w:w="1247" w:type="dxa"/>
            <w:vMerge/>
          </w:tcPr>
          <w:p w:rsidR="00DE0ACF" w:rsidRDefault="00DE0ACF"/>
        </w:tc>
        <w:tc>
          <w:tcPr>
            <w:tcW w:w="1644" w:type="dxa"/>
            <w:vMerge/>
          </w:tcPr>
          <w:p w:rsidR="00DE0ACF" w:rsidRDefault="00DE0ACF"/>
        </w:tc>
        <w:tc>
          <w:tcPr>
            <w:tcW w:w="1531" w:type="dxa"/>
            <w:vMerge/>
          </w:tcPr>
          <w:p w:rsidR="00DE0ACF" w:rsidRDefault="00DE0ACF"/>
        </w:tc>
        <w:tc>
          <w:tcPr>
            <w:tcW w:w="1531" w:type="dxa"/>
            <w:vMerge/>
            <w:tcBorders>
              <w:right w:val="nil"/>
            </w:tcBorders>
          </w:tcPr>
          <w:p w:rsidR="00DE0ACF" w:rsidRDefault="00DE0ACF"/>
        </w:tc>
      </w:tr>
      <w:tr w:rsidR="00DE0ACF">
        <w:tc>
          <w:tcPr>
            <w:tcW w:w="567" w:type="dxa"/>
            <w:tcBorders>
              <w:left w:val="nil"/>
            </w:tcBorders>
            <w:vAlign w:val="center"/>
          </w:tcPr>
          <w:p w:rsidR="00DE0ACF" w:rsidRDefault="00DE0ACF">
            <w:pPr>
              <w:pStyle w:val="ConsPlusNormal"/>
              <w:jc w:val="center"/>
            </w:pPr>
            <w:bookmarkStart w:id="5" w:name="P207"/>
            <w:bookmarkEnd w:id="5"/>
            <w:r>
              <w:t>1</w:t>
            </w:r>
          </w:p>
        </w:tc>
        <w:tc>
          <w:tcPr>
            <w:tcW w:w="1344" w:type="dxa"/>
            <w:vAlign w:val="center"/>
          </w:tcPr>
          <w:p w:rsidR="00DE0ACF" w:rsidRDefault="00DE0ACF">
            <w:pPr>
              <w:pStyle w:val="ConsPlusNormal"/>
              <w:jc w:val="center"/>
            </w:pPr>
            <w:bookmarkStart w:id="6" w:name="P208"/>
            <w:bookmarkEnd w:id="6"/>
            <w:r>
              <w:t>2</w:t>
            </w:r>
          </w:p>
        </w:tc>
        <w:tc>
          <w:tcPr>
            <w:tcW w:w="737" w:type="dxa"/>
            <w:vAlign w:val="center"/>
          </w:tcPr>
          <w:p w:rsidR="00DE0ACF" w:rsidRDefault="00DE0ACF">
            <w:pPr>
              <w:pStyle w:val="ConsPlusNormal"/>
              <w:jc w:val="center"/>
            </w:pPr>
            <w:bookmarkStart w:id="7" w:name="P209"/>
            <w:bookmarkEnd w:id="7"/>
            <w:r>
              <w:t>3</w:t>
            </w:r>
          </w:p>
        </w:tc>
        <w:tc>
          <w:tcPr>
            <w:tcW w:w="1134" w:type="dxa"/>
            <w:vAlign w:val="center"/>
          </w:tcPr>
          <w:p w:rsidR="00DE0ACF" w:rsidRDefault="00DE0ACF">
            <w:pPr>
              <w:pStyle w:val="ConsPlusNormal"/>
              <w:jc w:val="center"/>
            </w:pPr>
            <w:bookmarkStart w:id="8" w:name="P210"/>
            <w:bookmarkEnd w:id="8"/>
            <w:r>
              <w:t>4</w:t>
            </w:r>
          </w:p>
        </w:tc>
        <w:tc>
          <w:tcPr>
            <w:tcW w:w="1176" w:type="dxa"/>
            <w:vAlign w:val="center"/>
          </w:tcPr>
          <w:p w:rsidR="00DE0ACF" w:rsidRDefault="00DE0ACF">
            <w:pPr>
              <w:pStyle w:val="ConsPlusNormal"/>
              <w:jc w:val="center"/>
            </w:pPr>
            <w:bookmarkStart w:id="9" w:name="P211"/>
            <w:bookmarkEnd w:id="9"/>
            <w:r>
              <w:t>5</w:t>
            </w:r>
          </w:p>
        </w:tc>
        <w:tc>
          <w:tcPr>
            <w:tcW w:w="1134" w:type="dxa"/>
            <w:vAlign w:val="center"/>
          </w:tcPr>
          <w:p w:rsidR="00DE0ACF" w:rsidRDefault="00DE0ACF">
            <w:pPr>
              <w:pStyle w:val="ConsPlusNormal"/>
              <w:jc w:val="center"/>
            </w:pPr>
            <w:bookmarkStart w:id="10" w:name="P212"/>
            <w:bookmarkEnd w:id="10"/>
            <w:r>
              <w:t>6</w:t>
            </w:r>
          </w:p>
        </w:tc>
        <w:tc>
          <w:tcPr>
            <w:tcW w:w="1304" w:type="dxa"/>
            <w:vAlign w:val="center"/>
          </w:tcPr>
          <w:p w:rsidR="00DE0ACF" w:rsidRDefault="00DE0ACF">
            <w:pPr>
              <w:pStyle w:val="ConsPlusNormal"/>
              <w:jc w:val="center"/>
            </w:pPr>
            <w:bookmarkStart w:id="11" w:name="P213"/>
            <w:bookmarkEnd w:id="11"/>
            <w:r>
              <w:t>7</w:t>
            </w:r>
          </w:p>
        </w:tc>
        <w:tc>
          <w:tcPr>
            <w:tcW w:w="907" w:type="dxa"/>
            <w:vAlign w:val="center"/>
          </w:tcPr>
          <w:p w:rsidR="00DE0ACF" w:rsidRDefault="00DE0ACF">
            <w:pPr>
              <w:pStyle w:val="ConsPlusNormal"/>
              <w:jc w:val="center"/>
            </w:pPr>
            <w:bookmarkStart w:id="12" w:name="P214"/>
            <w:bookmarkEnd w:id="12"/>
            <w:r>
              <w:t>8</w:t>
            </w:r>
          </w:p>
        </w:tc>
        <w:tc>
          <w:tcPr>
            <w:tcW w:w="1247" w:type="dxa"/>
            <w:vAlign w:val="center"/>
          </w:tcPr>
          <w:p w:rsidR="00DE0ACF" w:rsidRDefault="00DE0ACF">
            <w:pPr>
              <w:pStyle w:val="ConsPlusNormal"/>
              <w:jc w:val="center"/>
            </w:pPr>
            <w:bookmarkStart w:id="13" w:name="P215"/>
            <w:bookmarkEnd w:id="13"/>
            <w:r>
              <w:t>9</w:t>
            </w:r>
          </w:p>
        </w:tc>
        <w:tc>
          <w:tcPr>
            <w:tcW w:w="1644" w:type="dxa"/>
            <w:vAlign w:val="center"/>
          </w:tcPr>
          <w:p w:rsidR="00DE0ACF" w:rsidRDefault="00DE0ACF">
            <w:pPr>
              <w:pStyle w:val="ConsPlusNormal"/>
              <w:jc w:val="center"/>
            </w:pPr>
            <w:bookmarkStart w:id="14" w:name="P216"/>
            <w:bookmarkEnd w:id="14"/>
            <w:r>
              <w:t>10</w:t>
            </w:r>
          </w:p>
        </w:tc>
        <w:tc>
          <w:tcPr>
            <w:tcW w:w="1531" w:type="dxa"/>
            <w:vAlign w:val="center"/>
          </w:tcPr>
          <w:p w:rsidR="00DE0ACF" w:rsidRDefault="00DE0ACF">
            <w:pPr>
              <w:pStyle w:val="ConsPlusNormal"/>
              <w:jc w:val="center"/>
            </w:pPr>
            <w:bookmarkStart w:id="15" w:name="P217"/>
            <w:bookmarkEnd w:id="15"/>
            <w:r>
              <w:t>11</w:t>
            </w:r>
          </w:p>
        </w:tc>
        <w:tc>
          <w:tcPr>
            <w:tcW w:w="1531" w:type="dxa"/>
            <w:tcBorders>
              <w:right w:val="nil"/>
            </w:tcBorders>
            <w:vAlign w:val="center"/>
          </w:tcPr>
          <w:p w:rsidR="00DE0ACF" w:rsidRDefault="00DE0ACF">
            <w:pPr>
              <w:pStyle w:val="ConsPlusNormal"/>
              <w:jc w:val="center"/>
            </w:pPr>
            <w:bookmarkStart w:id="16" w:name="P218"/>
            <w:bookmarkEnd w:id="16"/>
            <w:r>
              <w:t>12</w:t>
            </w: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37"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24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37"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24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37"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24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c>
          <w:tcPr>
            <w:tcW w:w="1531" w:type="dxa"/>
            <w:vAlign w:val="center"/>
          </w:tcPr>
          <w:p w:rsidR="00DE0ACF" w:rsidRDefault="00DE0ACF">
            <w:pPr>
              <w:pStyle w:val="ConsPlusNormal"/>
              <w:jc w:val="center"/>
            </w:pPr>
          </w:p>
        </w:tc>
      </w:tr>
    </w:tbl>
    <w:p w:rsidR="00DE0ACF" w:rsidRDefault="00DE0ACF">
      <w:pPr>
        <w:pStyle w:val="ConsPlusNormal"/>
        <w:ind w:firstLine="540"/>
        <w:jc w:val="both"/>
      </w:pPr>
    </w:p>
    <w:p w:rsidR="00DE0ACF" w:rsidRDefault="00DE0ACF">
      <w:pPr>
        <w:pStyle w:val="ConsPlusNormal"/>
        <w:ind w:firstLine="540"/>
        <w:jc w:val="both"/>
        <w:outlineLvl w:val="2"/>
      </w:pPr>
      <w:bookmarkStart w:id="17" w:name="P256"/>
      <w:bookmarkEnd w:id="17"/>
      <w:r>
        <w:t>2. Сведения об арифметических и логических ошибках, требующих дополнительного контроля</w:t>
      </w:r>
    </w:p>
    <w:p w:rsidR="00DE0ACF" w:rsidRDefault="00DE0ACF">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44"/>
        <w:gridCol w:w="758"/>
        <w:gridCol w:w="1286"/>
        <w:gridCol w:w="1304"/>
        <w:gridCol w:w="1282"/>
        <w:gridCol w:w="1417"/>
        <w:gridCol w:w="1644"/>
      </w:tblGrid>
      <w:tr w:rsidR="00DE0ACF">
        <w:tc>
          <w:tcPr>
            <w:tcW w:w="1911" w:type="dxa"/>
            <w:gridSpan w:val="2"/>
            <w:tcBorders>
              <w:left w:val="nil"/>
            </w:tcBorders>
            <w:vAlign w:val="center"/>
          </w:tcPr>
          <w:p w:rsidR="00DE0ACF" w:rsidRDefault="00DE0ACF">
            <w:pPr>
              <w:pStyle w:val="ConsPlusNormal"/>
              <w:jc w:val="center"/>
            </w:pPr>
            <w:r>
              <w:t>Глава по БК</w:t>
            </w:r>
          </w:p>
        </w:tc>
        <w:tc>
          <w:tcPr>
            <w:tcW w:w="3348" w:type="dxa"/>
            <w:gridSpan w:val="3"/>
            <w:vAlign w:val="center"/>
          </w:tcPr>
          <w:p w:rsidR="00DE0ACF" w:rsidRDefault="00DE0ACF">
            <w:pPr>
              <w:pStyle w:val="ConsPlusNormal"/>
              <w:jc w:val="center"/>
            </w:pPr>
            <w:r>
              <w:t>УБП/НУБП</w:t>
            </w:r>
          </w:p>
        </w:tc>
        <w:tc>
          <w:tcPr>
            <w:tcW w:w="1282" w:type="dxa"/>
            <w:vMerge w:val="restart"/>
            <w:vAlign w:val="center"/>
          </w:tcPr>
          <w:p w:rsidR="00DE0ACF" w:rsidRDefault="00DE0ACF">
            <w:pPr>
              <w:pStyle w:val="ConsPlusNormal"/>
              <w:jc w:val="center"/>
            </w:pPr>
            <w:r>
              <w:t>Код формы</w:t>
            </w:r>
          </w:p>
        </w:tc>
        <w:tc>
          <w:tcPr>
            <w:tcW w:w="1417" w:type="dxa"/>
            <w:vMerge w:val="restart"/>
            <w:vAlign w:val="center"/>
          </w:tcPr>
          <w:p w:rsidR="00DE0ACF" w:rsidRDefault="00DE0ACF">
            <w:pPr>
              <w:pStyle w:val="ConsPlusNormal"/>
              <w:jc w:val="center"/>
            </w:pPr>
            <w:r>
              <w:t>Код ошибки/тип контроля</w:t>
            </w:r>
          </w:p>
        </w:tc>
        <w:tc>
          <w:tcPr>
            <w:tcW w:w="1644" w:type="dxa"/>
            <w:vMerge w:val="restart"/>
            <w:tcBorders>
              <w:right w:val="nil"/>
            </w:tcBorders>
            <w:vAlign w:val="center"/>
          </w:tcPr>
          <w:p w:rsidR="00DE0ACF" w:rsidRDefault="00DE0ACF">
            <w:pPr>
              <w:pStyle w:val="ConsPlusNormal"/>
              <w:jc w:val="center"/>
            </w:pPr>
            <w:r>
              <w:t>Комментарий</w:t>
            </w:r>
          </w:p>
        </w:tc>
      </w:tr>
      <w:tr w:rsidR="00DE0ACF">
        <w:tc>
          <w:tcPr>
            <w:tcW w:w="567" w:type="dxa"/>
            <w:tcBorders>
              <w:left w:val="nil"/>
            </w:tcBorders>
            <w:vAlign w:val="center"/>
          </w:tcPr>
          <w:p w:rsidR="00DE0ACF" w:rsidRDefault="00DE0ACF">
            <w:pPr>
              <w:pStyle w:val="ConsPlusNormal"/>
              <w:jc w:val="center"/>
            </w:pPr>
            <w:r>
              <w:t>Код</w:t>
            </w:r>
          </w:p>
        </w:tc>
        <w:tc>
          <w:tcPr>
            <w:tcW w:w="1344" w:type="dxa"/>
            <w:vAlign w:val="center"/>
          </w:tcPr>
          <w:p w:rsidR="00DE0ACF" w:rsidRDefault="00DE0ACF">
            <w:pPr>
              <w:pStyle w:val="ConsPlusNormal"/>
              <w:jc w:val="center"/>
            </w:pPr>
            <w:r>
              <w:t>Наименование</w:t>
            </w:r>
          </w:p>
        </w:tc>
        <w:tc>
          <w:tcPr>
            <w:tcW w:w="758" w:type="dxa"/>
            <w:vAlign w:val="center"/>
          </w:tcPr>
          <w:p w:rsidR="00DE0ACF" w:rsidRDefault="00DE0ACF">
            <w:pPr>
              <w:pStyle w:val="ConsPlusNormal"/>
              <w:jc w:val="center"/>
            </w:pPr>
            <w:r>
              <w:t>Код</w:t>
            </w:r>
          </w:p>
        </w:tc>
        <w:tc>
          <w:tcPr>
            <w:tcW w:w="1286" w:type="dxa"/>
            <w:vAlign w:val="center"/>
          </w:tcPr>
          <w:p w:rsidR="00DE0ACF" w:rsidRDefault="00DE0ACF">
            <w:pPr>
              <w:pStyle w:val="ConsPlusNormal"/>
              <w:jc w:val="center"/>
            </w:pPr>
            <w:r>
              <w:t>Наименование</w:t>
            </w:r>
          </w:p>
        </w:tc>
        <w:tc>
          <w:tcPr>
            <w:tcW w:w="1304" w:type="dxa"/>
            <w:vAlign w:val="center"/>
          </w:tcPr>
          <w:p w:rsidR="00DE0ACF" w:rsidRDefault="00DE0ACF">
            <w:pPr>
              <w:pStyle w:val="ConsPlusNormal"/>
              <w:jc w:val="center"/>
            </w:pPr>
            <w:r>
              <w:t>Код типа субъекта мониторинга</w:t>
            </w:r>
          </w:p>
        </w:tc>
        <w:tc>
          <w:tcPr>
            <w:tcW w:w="1282" w:type="dxa"/>
            <w:vMerge/>
          </w:tcPr>
          <w:p w:rsidR="00DE0ACF" w:rsidRDefault="00DE0ACF"/>
        </w:tc>
        <w:tc>
          <w:tcPr>
            <w:tcW w:w="1417" w:type="dxa"/>
            <w:vMerge/>
          </w:tcPr>
          <w:p w:rsidR="00DE0ACF" w:rsidRDefault="00DE0ACF"/>
        </w:tc>
        <w:tc>
          <w:tcPr>
            <w:tcW w:w="1644" w:type="dxa"/>
            <w:vMerge/>
            <w:tcBorders>
              <w:right w:val="nil"/>
            </w:tcBorders>
          </w:tcPr>
          <w:p w:rsidR="00DE0ACF" w:rsidRDefault="00DE0ACF"/>
        </w:tc>
      </w:tr>
      <w:tr w:rsidR="00DE0ACF">
        <w:tc>
          <w:tcPr>
            <w:tcW w:w="567" w:type="dxa"/>
            <w:tcBorders>
              <w:left w:val="nil"/>
            </w:tcBorders>
            <w:vAlign w:val="center"/>
          </w:tcPr>
          <w:p w:rsidR="00DE0ACF" w:rsidRDefault="00DE0ACF">
            <w:pPr>
              <w:pStyle w:val="ConsPlusNormal"/>
              <w:jc w:val="center"/>
            </w:pPr>
            <w:r>
              <w:t>1</w:t>
            </w:r>
          </w:p>
        </w:tc>
        <w:tc>
          <w:tcPr>
            <w:tcW w:w="1344" w:type="dxa"/>
            <w:vAlign w:val="center"/>
          </w:tcPr>
          <w:p w:rsidR="00DE0ACF" w:rsidRDefault="00DE0ACF">
            <w:pPr>
              <w:pStyle w:val="ConsPlusNormal"/>
              <w:jc w:val="center"/>
            </w:pPr>
            <w:r>
              <w:t>2</w:t>
            </w:r>
          </w:p>
        </w:tc>
        <w:tc>
          <w:tcPr>
            <w:tcW w:w="758" w:type="dxa"/>
            <w:vAlign w:val="center"/>
          </w:tcPr>
          <w:p w:rsidR="00DE0ACF" w:rsidRDefault="00DE0ACF">
            <w:pPr>
              <w:pStyle w:val="ConsPlusNormal"/>
              <w:jc w:val="center"/>
            </w:pPr>
            <w:r>
              <w:t>3</w:t>
            </w:r>
          </w:p>
        </w:tc>
        <w:tc>
          <w:tcPr>
            <w:tcW w:w="1286" w:type="dxa"/>
            <w:vAlign w:val="center"/>
          </w:tcPr>
          <w:p w:rsidR="00DE0ACF" w:rsidRDefault="00DE0ACF">
            <w:pPr>
              <w:pStyle w:val="ConsPlusNormal"/>
              <w:jc w:val="center"/>
            </w:pPr>
            <w:r>
              <w:t>4</w:t>
            </w:r>
          </w:p>
        </w:tc>
        <w:tc>
          <w:tcPr>
            <w:tcW w:w="1304" w:type="dxa"/>
            <w:vAlign w:val="center"/>
          </w:tcPr>
          <w:p w:rsidR="00DE0ACF" w:rsidRDefault="00DE0ACF">
            <w:pPr>
              <w:pStyle w:val="ConsPlusNormal"/>
              <w:jc w:val="center"/>
            </w:pPr>
            <w:r>
              <w:t>5</w:t>
            </w:r>
          </w:p>
        </w:tc>
        <w:tc>
          <w:tcPr>
            <w:tcW w:w="1282" w:type="dxa"/>
            <w:vAlign w:val="center"/>
          </w:tcPr>
          <w:p w:rsidR="00DE0ACF" w:rsidRDefault="00DE0ACF">
            <w:pPr>
              <w:pStyle w:val="ConsPlusNormal"/>
              <w:jc w:val="center"/>
            </w:pPr>
            <w:bookmarkStart w:id="18" w:name="P273"/>
            <w:bookmarkEnd w:id="18"/>
            <w:r>
              <w:t>6</w:t>
            </w:r>
          </w:p>
        </w:tc>
        <w:tc>
          <w:tcPr>
            <w:tcW w:w="1417" w:type="dxa"/>
            <w:vAlign w:val="center"/>
          </w:tcPr>
          <w:p w:rsidR="00DE0ACF" w:rsidRDefault="00DE0ACF">
            <w:pPr>
              <w:pStyle w:val="ConsPlusNormal"/>
              <w:jc w:val="center"/>
            </w:pPr>
            <w:bookmarkStart w:id="19" w:name="P274"/>
            <w:bookmarkEnd w:id="19"/>
            <w:r>
              <w:t>7</w:t>
            </w:r>
          </w:p>
        </w:tc>
        <w:tc>
          <w:tcPr>
            <w:tcW w:w="1644" w:type="dxa"/>
            <w:tcBorders>
              <w:right w:val="nil"/>
            </w:tcBorders>
            <w:vAlign w:val="center"/>
          </w:tcPr>
          <w:p w:rsidR="00DE0ACF" w:rsidRDefault="00DE0ACF">
            <w:pPr>
              <w:pStyle w:val="ConsPlusNormal"/>
              <w:jc w:val="center"/>
            </w:pPr>
            <w:bookmarkStart w:id="20" w:name="P275"/>
            <w:bookmarkEnd w:id="20"/>
            <w:r>
              <w:t>8</w:t>
            </w: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1282"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1282"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1282"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bl>
    <w:p w:rsidR="00DE0ACF" w:rsidRDefault="00DE0ACF">
      <w:pPr>
        <w:pStyle w:val="ConsPlusNormal"/>
        <w:ind w:firstLine="540"/>
        <w:jc w:val="both"/>
      </w:pPr>
    </w:p>
    <w:p w:rsidR="00DE0ACF" w:rsidRDefault="00DE0ACF">
      <w:pPr>
        <w:pStyle w:val="ConsPlusNormal"/>
        <w:ind w:firstLine="540"/>
        <w:jc w:val="both"/>
        <w:outlineLvl w:val="2"/>
      </w:pPr>
      <w:bookmarkStart w:id="21" w:name="P301"/>
      <w:bookmarkEnd w:id="21"/>
      <w:r>
        <w:t>3. Сведения о несоответствии показателей данным классификаторов и справочников</w:t>
      </w:r>
    </w:p>
    <w:p w:rsidR="00DE0ACF" w:rsidRDefault="00DE0ACF">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191"/>
        <w:gridCol w:w="758"/>
        <w:gridCol w:w="1134"/>
        <w:gridCol w:w="1176"/>
        <w:gridCol w:w="907"/>
        <w:gridCol w:w="1644"/>
        <w:gridCol w:w="1304"/>
        <w:gridCol w:w="964"/>
      </w:tblGrid>
      <w:tr w:rsidR="00DE0ACF">
        <w:tc>
          <w:tcPr>
            <w:tcW w:w="1758" w:type="dxa"/>
            <w:gridSpan w:val="2"/>
            <w:tcBorders>
              <w:left w:val="nil"/>
            </w:tcBorders>
            <w:vAlign w:val="center"/>
          </w:tcPr>
          <w:p w:rsidR="00DE0ACF" w:rsidRDefault="00DE0ACF">
            <w:pPr>
              <w:pStyle w:val="ConsPlusNormal"/>
              <w:jc w:val="center"/>
            </w:pPr>
            <w:r>
              <w:t>Глава по БК</w:t>
            </w:r>
          </w:p>
        </w:tc>
        <w:tc>
          <w:tcPr>
            <w:tcW w:w="3068" w:type="dxa"/>
            <w:gridSpan w:val="3"/>
            <w:vAlign w:val="center"/>
          </w:tcPr>
          <w:p w:rsidR="00DE0ACF" w:rsidRDefault="00DE0ACF">
            <w:pPr>
              <w:pStyle w:val="ConsPlusNormal"/>
              <w:jc w:val="center"/>
            </w:pPr>
            <w:r>
              <w:t>УБП/НУБП</w:t>
            </w:r>
          </w:p>
        </w:tc>
        <w:tc>
          <w:tcPr>
            <w:tcW w:w="907" w:type="dxa"/>
            <w:vMerge w:val="restart"/>
            <w:vAlign w:val="center"/>
          </w:tcPr>
          <w:p w:rsidR="00DE0ACF" w:rsidRDefault="00DE0ACF">
            <w:pPr>
              <w:pStyle w:val="ConsPlusNormal"/>
              <w:jc w:val="center"/>
            </w:pPr>
            <w:r>
              <w:t>Код формы</w:t>
            </w:r>
          </w:p>
        </w:tc>
        <w:tc>
          <w:tcPr>
            <w:tcW w:w="1644" w:type="dxa"/>
            <w:vMerge w:val="restart"/>
            <w:vAlign w:val="center"/>
          </w:tcPr>
          <w:p w:rsidR="00DE0ACF" w:rsidRDefault="00DE0ACF">
            <w:pPr>
              <w:pStyle w:val="ConsPlusNormal"/>
              <w:jc w:val="center"/>
            </w:pPr>
            <w:r>
              <w:t>Наименование классификатора или справочника</w:t>
            </w:r>
          </w:p>
        </w:tc>
        <w:tc>
          <w:tcPr>
            <w:tcW w:w="1304" w:type="dxa"/>
            <w:vMerge w:val="restart"/>
            <w:vAlign w:val="center"/>
          </w:tcPr>
          <w:p w:rsidR="00DE0ACF" w:rsidRDefault="00DE0ACF">
            <w:pPr>
              <w:pStyle w:val="ConsPlusNormal"/>
              <w:jc w:val="center"/>
            </w:pPr>
            <w:r>
              <w:t>Отсутствующий код показателя</w:t>
            </w:r>
          </w:p>
        </w:tc>
        <w:tc>
          <w:tcPr>
            <w:tcW w:w="964" w:type="dxa"/>
            <w:vMerge w:val="restart"/>
            <w:tcBorders>
              <w:right w:val="nil"/>
            </w:tcBorders>
            <w:vAlign w:val="center"/>
          </w:tcPr>
          <w:p w:rsidR="00DE0ACF" w:rsidRDefault="00DE0ACF">
            <w:pPr>
              <w:pStyle w:val="ConsPlusNormal"/>
              <w:jc w:val="center"/>
            </w:pPr>
            <w:r>
              <w:t>Комментарий</w:t>
            </w:r>
          </w:p>
        </w:tc>
      </w:tr>
      <w:tr w:rsidR="00DE0ACF">
        <w:tc>
          <w:tcPr>
            <w:tcW w:w="567" w:type="dxa"/>
            <w:tcBorders>
              <w:left w:val="nil"/>
            </w:tcBorders>
            <w:vAlign w:val="center"/>
          </w:tcPr>
          <w:p w:rsidR="00DE0ACF" w:rsidRDefault="00DE0ACF">
            <w:pPr>
              <w:pStyle w:val="ConsPlusNormal"/>
              <w:jc w:val="center"/>
            </w:pPr>
            <w:r>
              <w:t>Код</w:t>
            </w:r>
          </w:p>
        </w:tc>
        <w:tc>
          <w:tcPr>
            <w:tcW w:w="1191" w:type="dxa"/>
            <w:vAlign w:val="center"/>
          </w:tcPr>
          <w:p w:rsidR="00DE0ACF" w:rsidRDefault="00DE0ACF">
            <w:pPr>
              <w:pStyle w:val="ConsPlusNormal"/>
              <w:jc w:val="center"/>
            </w:pPr>
            <w:r>
              <w:t>Наименование</w:t>
            </w:r>
          </w:p>
        </w:tc>
        <w:tc>
          <w:tcPr>
            <w:tcW w:w="758" w:type="dxa"/>
            <w:vAlign w:val="center"/>
          </w:tcPr>
          <w:p w:rsidR="00DE0ACF" w:rsidRDefault="00DE0ACF">
            <w:pPr>
              <w:pStyle w:val="ConsPlusNormal"/>
              <w:jc w:val="center"/>
            </w:pPr>
            <w:r>
              <w:t>Код</w:t>
            </w:r>
          </w:p>
        </w:tc>
        <w:tc>
          <w:tcPr>
            <w:tcW w:w="1134" w:type="dxa"/>
            <w:vAlign w:val="center"/>
          </w:tcPr>
          <w:p w:rsidR="00DE0ACF" w:rsidRDefault="00DE0ACF">
            <w:pPr>
              <w:pStyle w:val="ConsPlusNormal"/>
              <w:jc w:val="center"/>
            </w:pPr>
            <w:r>
              <w:t>Наименование</w:t>
            </w:r>
          </w:p>
        </w:tc>
        <w:tc>
          <w:tcPr>
            <w:tcW w:w="1176" w:type="dxa"/>
            <w:vAlign w:val="center"/>
          </w:tcPr>
          <w:p w:rsidR="00DE0ACF" w:rsidRDefault="00DE0ACF">
            <w:pPr>
              <w:pStyle w:val="ConsPlusNormal"/>
              <w:jc w:val="center"/>
            </w:pPr>
            <w:r>
              <w:t>Код типа субъекта мониторинга</w:t>
            </w:r>
          </w:p>
        </w:tc>
        <w:tc>
          <w:tcPr>
            <w:tcW w:w="907" w:type="dxa"/>
            <w:vMerge/>
          </w:tcPr>
          <w:p w:rsidR="00DE0ACF" w:rsidRDefault="00DE0ACF"/>
        </w:tc>
        <w:tc>
          <w:tcPr>
            <w:tcW w:w="1644" w:type="dxa"/>
            <w:vMerge/>
          </w:tcPr>
          <w:p w:rsidR="00DE0ACF" w:rsidRDefault="00DE0ACF"/>
        </w:tc>
        <w:tc>
          <w:tcPr>
            <w:tcW w:w="1304" w:type="dxa"/>
            <w:vMerge/>
          </w:tcPr>
          <w:p w:rsidR="00DE0ACF" w:rsidRDefault="00DE0ACF"/>
        </w:tc>
        <w:tc>
          <w:tcPr>
            <w:tcW w:w="964" w:type="dxa"/>
            <w:vMerge/>
            <w:tcBorders>
              <w:right w:val="nil"/>
            </w:tcBorders>
          </w:tcPr>
          <w:p w:rsidR="00DE0ACF" w:rsidRDefault="00DE0ACF"/>
        </w:tc>
      </w:tr>
      <w:tr w:rsidR="00DE0ACF">
        <w:tc>
          <w:tcPr>
            <w:tcW w:w="567" w:type="dxa"/>
            <w:tcBorders>
              <w:left w:val="nil"/>
            </w:tcBorders>
            <w:vAlign w:val="center"/>
          </w:tcPr>
          <w:p w:rsidR="00DE0ACF" w:rsidRDefault="00DE0ACF">
            <w:pPr>
              <w:pStyle w:val="ConsPlusNormal"/>
              <w:jc w:val="center"/>
            </w:pPr>
            <w:r>
              <w:t>1</w:t>
            </w:r>
          </w:p>
        </w:tc>
        <w:tc>
          <w:tcPr>
            <w:tcW w:w="1191" w:type="dxa"/>
            <w:vAlign w:val="center"/>
          </w:tcPr>
          <w:p w:rsidR="00DE0ACF" w:rsidRDefault="00DE0ACF">
            <w:pPr>
              <w:pStyle w:val="ConsPlusNormal"/>
              <w:jc w:val="center"/>
            </w:pPr>
            <w:r>
              <w:t>2</w:t>
            </w:r>
          </w:p>
        </w:tc>
        <w:tc>
          <w:tcPr>
            <w:tcW w:w="758" w:type="dxa"/>
            <w:vAlign w:val="center"/>
          </w:tcPr>
          <w:p w:rsidR="00DE0ACF" w:rsidRDefault="00DE0ACF">
            <w:pPr>
              <w:pStyle w:val="ConsPlusNormal"/>
              <w:jc w:val="center"/>
            </w:pPr>
            <w:r>
              <w:t>3</w:t>
            </w:r>
          </w:p>
        </w:tc>
        <w:tc>
          <w:tcPr>
            <w:tcW w:w="1134" w:type="dxa"/>
            <w:vAlign w:val="center"/>
          </w:tcPr>
          <w:p w:rsidR="00DE0ACF" w:rsidRDefault="00DE0ACF">
            <w:pPr>
              <w:pStyle w:val="ConsPlusNormal"/>
              <w:jc w:val="center"/>
            </w:pPr>
            <w:r>
              <w:t>4</w:t>
            </w:r>
          </w:p>
        </w:tc>
        <w:tc>
          <w:tcPr>
            <w:tcW w:w="1176" w:type="dxa"/>
            <w:vAlign w:val="center"/>
          </w:tcPr>
          <w:p w:rsidR="00DE0ACF" w:rsidRDefault="00DE0ACF">
            <w:pPr>
              <w:pStyle w:val="ConsPlusNormal"/>
              <w:jc w:val="center"/>
            </w:pPr>
            <w:r>
              <w:t>5</w:t>
            </w:r>
          </w:p>
        </w:tc>
        <w:tc>
          <w:tcPr>
            <w:tcW w:w="907" w:type="dxa"/>
            <w:vAlign w:val="center"/>
          </w:tcPr>
          <w:p w:rsidR="00DE0ACF" w:rsidRDefault="00DE0ACF">
            <w:pPr>
              <w:pStyle w:val="ConsPlusNormal"/>
              <w:jc w:val="center"/>
            </w:pPr>
            <w:bookmarkStart w:id="22" w:name="P319"/>
            <w:bookmarkEnd w:id="22"/>
            <w:r>
              <w:t>6</w:t>
            </w:r>
          </w:p>
        </w:tc>
        <w:tc>
          <w:tcPr>
            <w:tcW w:w="1644" w:type="dxa"/>
            <w:vAlign w:val="center"/>
          </w:tcPr>
          <w:p w:rsidR="00DE0ACF" w:rsidRDefault="00DE0ACF">
            <w:pPr>
              <w:pStyle w:val="ConsPlusNormal"/>
              <w:jc w:val="center"/>
            </w:pPr>
            <w:bookmarkStart w:id="23" w:name="P320"/>
            <w:bookmarkEnd w:id="23"/>
            <w:r>
              <w:t>7</w:t>
            </w:r>
          </w:p>
        </w:tc>
        <w:tc>
          <w:tcPr>
            <w:tcW w:w="1304" w:type="dxa"/>
            <w:vAlign w:val="center"/>
          </w:tcPr>
          <w:p w:rsidR="00DE0ACF" w:rsidRDefault="00DE0ACF">
            <w:pPr>
              <w:pStyle w:val="ConsPlusNormal"/>
              <w:jc w:val="center"/>
            </w:pPr>
            <w:bookmarkStart w:id="24" w:name="P321"/>
            <w:bookmarkEnd w:id="24"/>
            <w:r>
              <w:t>8</w:t>
            </w:r>
          </w:p>
        </w:tc>
        <w:tc>
          <w:tcPr>
            <w:tcW w:w="964" w:type="dxa"/>
            <w:tcBorders>
              <w:right w:val="nil"/>
            </w:tcBorders>
            <w:vAlign w:val="center"/>
          </w:tcPr>
          <w:p w:rsidR="00DE0ACF" w:rsidRDefault="00DE0ACF">
            <w:pPr>
              <w:pStyle w:val="ConsPlusNormal"/>
              <w:jc w:val="center"/>
            </w:pPr>
            <w:bookmarkStart w:id="25" w:name="P322"/>
            <w:bookmarkEnd w:id="25"/>
            <w:r>
              <w:t>9</w:t>
            </w: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191"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6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191"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6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191"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134"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c>
          <w:tcPr>
            <w:tcW w:w="1304" w:type="dxa"/>
            <w:vAlign w:val="center"/>
          </w:tcPr>
          <w:p w:rsidR="00DE0ACF" w:rsidRDefault="00DE0ACF">
            <w:pPr>
              <w:pStyle w:val="ConsPlusNormal"/>
              <w:jc w:val="center"/>
            </w:pPr>
          </w:p>
        </w:tc>
        <w:tc>
          <w:tcPr>
            <w:tcW w:w="964" w:type="dxa"/>
            <w:vAlign w:val="center"/>
          </w:tcPr>
          <w:p w:rsidR="00DE0ACF" w:rsidRDefault="00DE0ACF">
            <w:pPr>
              <w:pStyle w:val="ConsPlusNormal"/>
              <w:jc w:val="center"/>
            </w:pPr>
          </w:p>
        </w:tc>
      </w:tr>
    </w:tbl>
    <w:p w:rsidR="00DE0ACF" w:rsidRDefault="00DE0ACF">
      <w:pPr>
        <w:pStyle w:val="ConsPlusNormal"/>
        <w:ind w:firstLine="540"/>
        <w:jc w:val="both"/>
      </w:pPr>
    </w:p>
    <w:p w:rsidR="00DE0ACF" w:rsidRDefault="00DE0ACF">
      <w:pPr>
        <w:pStyle w:val="ConsPlusNormal"/>
        <w:ind w:firstLine="540"/>
        <w:jc w:val="both"/>
        <w:outlineLvl w:val="2"/>
      </w:pPr>
      <w:bookmarkStart w:id="26" w:name="P351"/>
      <w:bookmarkEnd w:id="26"/>
      <w:r>
        <w:t>4. Сведения о невыполнении обязательных требований по раскрытию информации в пояснительной записке</w:t>
      </w:r>
    </w:p>
    <w:p w:rsidR="00DE0ACF" w:rsidRDefault="00DE0ACF">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907"/>
        <w:gridCol w:w="1474"/>
        <w:gridCol w:w="1928"/>
        <w:gridCol w:w="1701"/>
        <w:gridCol w:w="1587"/>
      </w:tblGrid>
      <w:tr w:rsidR="00DE0ACF">
        <w:tc>
          <w:tcPr>
            <w:tcW w:w="1984" w:type="dxa"/>
            <w:gridSpan w:val="2"/>
            <w:tcBorders>
              <w:left w:val="nil"/>
            </w:tcBorders>
            <w:vAlign w:val="center"/>
          </w:tcPr>
          <w:p w:rsidR="00DE0ACF" w:rsidRDefault="00DE0ACF">
            <w:pPr>
              <w:pStyle w:val="ConsPlusNormal"/>
              <w:jc w:val="center"/>
            </w:pPr>
            <w:r>
              <w:t>Глава по БК</w:t>
            </w:r>
          </w:p>
        </w:tc>
        <w:tc>
          <w:tcPr>
            <w:tcW w:w="4309" w:type="dxa"/>
            <w:gridSpan w:val="3"/>
            <w:vAlign w:val="center"/>
          </w:tcPr>
          <w:p w:rsidR="00DE0ACF" w:rsidRDefault="00DE0ACF">
            <w:pPr>
              <w:pStyle w:val="ConsPlusNormal"/>
              <w:jc w:val="center"/>
            </w:pPr>
            <w:r>
              <w:t>УБП/НУБП</w:t>
            </w:r>
          </w:p>
        </w:tc>
        <w:tc>
          <w:tcPr>
            <w:tcW w:w="1701" w:type="dxa"/>
            <w:vMerge w:val="restart"/>
            <w:vAlign w:val="center"/>
          </w:tcPr>
          <w:p w:rsidR="00DE0ACF" w:rsidRDefault="00DE0ACF">
            <w:pPr>
              <w:pStyle w:val="ConsPlusNormal"/>
              <w:jc w:val="center"/>
            </w:pPr>
            <w:r>
              <w:t>Содержание обязательного требования</w:t>
            </w:r>
          </w:p>
        </w:tc>
        <w:tc>
          <w:tcPr>
            <w:tcW w:w="1587" w:type="dxa"/>
            <w:vMerge w:val="restart"/>
            <w:tcBorders>
              <w:right w:val="nil"/>
            </w:tcBorders>
            <w:vAlign w:val="center"/>
          </w:tcPr>
          <w:p w:rsidR="00DE0ACF" w:rsidRDefault="00DE0ACF">
            <w:pPr>
              <w:pStyle w:val="ConsPlusNormal"/>
              <w:jc w:val="center"/>
            </w:pPr>
            <w:r>
              <w:t>Комментарий</w:t>
            </w:r>
          </w:p>
        </w:tc>
      </w:tr>
      <w:tr w:rsidR="00DE0ACF">
        <w:tc>
          <w:tcPr>
            <w:tcW w:w="567" w:type="dxa"/>
            <w:tcBorders>
              <w:left w:val="nil"/>
            </w:tcBorders>
            <w:vAlign w:val="center"/>
          </w:tcPr>
          <w:p w:rsidR="00DE0ACF" w:rsidRDefault="00DE0ACF">
            <w:pPr>
              <w:pStyle w:val="ConsPlusNormal"/>
              <w:jc w:val="center"/>
            </w:pPr>
            <w:r>
              <w:t>Код</w:t>
            </w:r>
          </w:p>
        </w:tc>
        <w:tc>
          <w:tcPr>
            <w:tcW w:w="1417" w:type="dxa"/>
            <w:vAlign w:val="center"/>
          </w:tcPr>
          <w:p w:rsidR="00DE0ACF" w:rsidRDefault="00DE0ACF">
            <w:pPr>
              <w:pStyle w:val="ConsPlusNormal"/>
              <w:jc w:val="center"/>
            </w:pPr>
            <w:r>
              <w:t>Наименование</w:t>
            </w:r>
          </w:p>
        </w:tc>
        <w:tc>
          <w:tcPr>
            <w:tcW w:w="907" w:type="dxa"/>
            <w:vAlign w:val="center"/>
          </w:tcPr>
          <w:p w:rsidR="00DE0ACF" w:rsidRDefault="00DE0ACF">
            <w:pPr>
              <w:pStyle w:val="ConsPlusNormal"/>
              <w:jc w:val="center"/>
            </w:pPr>
            <w:r>
              <w:t>Код</w:t>
            </w:r>
          </w:p>
        </w:tc>
        <w:tc>
          <w:tcPr>
            <w:tcW w:w="1474" w:type="dxa"/>
            <w:vAlign w:val="center"/>
          </w:tcPr>
          <w:p w:rsidR="00DE0ACF" w:rsidRDefault="00DE0ACF">
            <w:pPr>
              <w:pStyle w:val="ConsPlusNormal"/>
              <w:jc w:val="center"/>
            </w:pPr>
            <w:r>
              <w:t>Наименование</w:t>
            </w:r>
          </w:p>
        </w:tc>
        <w:tc>
          <w:tcPr>
            <w:tcW w:w="1928" w:type="dxa"/>
            <w:vAlign w:val="center"/>
          </w:tcPr>
          <w:p w:rsidR="00DE0ACF" w:rsidRDefault="00DE0ACF">
            <w:pPr>
              <w:pStyle w:val="ConsPlusNormal"/>
              <w:jc w:val="center"/>
            </w:pPr>
            <w:r>
              <w:t>Код типа субъекта мониторинга</w:t>
            </w:r>
          </w:p>
        </w:tc>
        <w:tc>
          <w:tcPr>
            <w:tcW w:w="1701" w:type="dxa"/>
            <w:vMerge/>
          </w:tcPr>
          <w:p w:rsidR="00DE0ACF" w:rsidRDefault="00DE0ACF"/>
        </w:tc>
        <w:tc>
          <w:tcPr>
            <w:tcW w:w="1587" w:type="dxa"/>
            <w:vMerge/>
            <w:tcBorders>
              <w:right w:val="nil"/>
            </w:tcBorders>
          </w:tcPr>
          <w:p w:rsidR="00DE0ACF" w:rsidRDefault="00DE0ACF"/>
        </w:tc>
      </w:tr>
      <w:tr w:rsidR="00DE0ACF">
        <w:tc>
          <w:tcPr>
            <w:tcW w:w="567" w:type="dxa"/>
            <w:tcBorders>
              <w:left w:val="nil"/>
            </w:tcBorders>
            <w:vAlign w:val="center"/>
          </w:tcPr>
          <w:p w:rsidR="00DE0ACF" w:rsidRDefault="00DE0ACF">
            <w:pPr>
              <w:pStyle w:val="ConsPlusNormal"/>
              <w:jc w:val="center"/>
            </w:pPr>
            <w:r>
              <w:t>1</w:t>
            </w:r>
          </w:p>
        </w:tc>
        <w:tc>
          <w:tcPr>
            <w:tcW w:w="1417" w:type="dxa"/>
            <w:vAlign w:val="center"/>
          </w:tcPr>
          <w:p w:rsidR="00DE0ACF" w:rsidRDefault="00DE0ACF">
            <w:pPr>
              <w:pStyle w:val="ConsPlusNormal"/>
              <w:jc w:val="center"/>
            </w:pPr>
            <w:r>
              <w:t>2</w:t>
            </w:r>
          </w:p>
        </w:tc>
        <w:tc>
          <w:tcPr>
            <w:tcW w:w="907" w:type="dxa"/>
            <w:vAlign w:val="center"/>
          </w:tcPr>
          <w:p w:rsidR="00DE0ACF" w:rsidRDefault="00DE0ACF">
            <w:pPr>
              <w:pStyle w:val="ConsPlusNormal"/>
              <w:jc w:val="center"/>
            </w:pPr>
            <w:r>
              <w:t>3</w:t>
            </w:r>
          </w:p>
        </w:tc>
        <w:tc>
          <w:tcPr>
            <w:tcW w:w="1474" w:type="dxa"/>
            <w:vAlign w:val="center"/>
          </w:tcPr>
          <w:p w:rsidR="00DE0ACF" w:rsidRDefault="00DE0ACF">
            <w:pPr>
              <w:pStyle w:val="ConsPlusNormal"/>
              <w:jc w:val="center"/>
            </w:pPr>
            <w:r>
              <w:t>4</w:t>
            </w:r>
          </w:p>
        </w:tc>
        <w:tc>
          <w:tcPr>
            <w:tcW w:w="1928" w:type="dxa"/>
            <w:vAlign w:val="center"/>
          </w:tcPr>
          <w:p w:rsidR="00DE0ACF" w:rsidRDefault="00DE0ACF">
            <w:pPr>
              <w:pStyle w:val="ConsPlusNormal"/>
              <w:jc w:val="center"/>
            </w:pPr>
            <w:r>
              <w:t>5</w:t>
            </w:r>
          </w:p>
        </w:tc>
        <w:tc>
          <w:tcPr>
            <w:tcW w:w="1701" w:type="dxa"/>
            <w:vAlign w:val="center"/>
          </w:tcPr>
          <w:p w:rsidR="00DE0ACF" w:rsidRDefault="00DE0ACF">
            <w:pPr>
              <w:pStyle w:val="ConsPlusNormal"/>
              <w:jc w:val="center"/>
            </w:pPr>
            <w:bookmarkStart w:id="27" w:name="P367"/>
            <w:bookmarkEnd w:id="27"/>
            <w:r>
              <w:t>6</w:t>
            </w:r>
          </w:p>
        </w:tc>
        <w:tc>
          <w:tcPr>
            <w:tcW w:w="1587" w:type="dxa"/>
            <w:tcBorders>
              <w:right w:val="nil"/>
            </w:tcBorders>
            <w:vAlign w:val="center"/>
          </w:tcPr>
          <w:p w:rsidR="00DE0ACF" w:rsidRDefault="00DE0ACF">
            <w:pPr>
              <w:pStyle w:val="ConsPlusNormal"/>
              <w:jc w:val="center"/>
            </w:pPr>
            <w:bookmarkStart w:id="28" w:name="P368"/>
            <w:bookmarkEnd w:id="28"/>
            <w:r>
              <w:t>7</w:t>
            </w: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474" w:type="dxa"/>
            <w:vAlign w:val="center"/>
          </w:tcPr>
          <w:p w:rsidR="00DE0ACF" w:rsidRDefault="00DE0ACF">
            <w:pPr>
              <w:pStyle w:val="ConsPlusNormal"/>
              <w:jc w:val="center"/>
            </w:pPr>
          </w:p>
        </w:tc>
        <w:tc>
          <w:tcPr>
            <w:tcW w:w="1928" w:type="dxa"/>
            <w:vAlign w:val="center"/>
          </w:tcPr>
          <w:p w:rsidR="00DE0ACF" w:rsidRDefault="00DE0ACF">
            <w:pPr>
              <w:pStyle w:val="ConsPlusNormal"/>
              <w:jc w:val="center"/>
            </w:pPr>
          </w:p>
        </w:tc>
        <w:tc>
          <w:tcPr>
            <w:tcW w:w="1701" w:type="dxa"/>
            <w:vAlign w:val="center"/>
          </w:tcPr>
          <w:p w:rsidR="00DE0ACF" w:rsidRDefault="00DE0ACF">
            <w:pPr>
              <w:pStyle w:val="ConsPlusNormal"/>
              <w:jc w:val="center"/>
            </w:pPr>
          </w:p>
        </w:tc>
        <w:tc>
          <w:tcPr>
            <w:tcW w:w="1587"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474" w:type="dxa"/>
            <w:vAlign w:val="center"/>
          </w:tcPr>
          <w:p w:rsidR="00DE0ACF" w:rsidRDefault="00DE0ACF">
            <w:pPr>
              <w:pStyle w:val="ConsPlusNormal"/>
              <w:jc w:val="center"/>
            </w:pPr>
          </w:p>
        </w:tc>
        <w:tc>
          <w:tcPr>
            <w:tcW w:w="1928" w:type="dxa"/>
            <w:vAlign w:val="center"/>
          </w:tcPr>
          <w:p w:rsidR="00DE0ACF" w:rsidRDefault="00DE0ACF">
            <w:pPr>
              <w:pStyle w:val="ConsPlusNormal"/>
              <w:jc w:val="center"/>
            </w:pPr>
          </w:p>
        </w:tc>
        <w:tc>
          <w:tcPr>
            <w:tcW w:w="1701" w:type="dxa"/>
            <w:vAlign w:val="center"/>
          </w:tcPr>
          <w:p w:rsidR="00DE0ACF" w:rsidRDefault="00DE0ACF">
            <w:pPr>
              <w:pStyle w:val="ConsPlusNormal"/>
              <w:jc w:val="center"/>
            </w:pPr>
          </w:p>
        </w:tc>
        <w:tc>
          <w:tcPr>
            <w:tcW w:w="1587"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417" w:type="dxa"/>
            <w:vAlign w:val="center"/>
          </w:tcPr>
          <w:p w:rsidR="00DE0ACF" w:rsidRDefault="00DE0ACF">
            <w:pPr>
              <w:pStyle w:val="ConsPlusNormal"/>
              <w:jc w:val="center"/>
            </w:pPr>
          </w:p>
        </w:tc>
        <w:tc>
          <w:tcPr>
            <w:tcW w:w="907" w:type="dxa"/>
            <w:vAlign w:val="center"/>
          </w:tcPr>
          <w:p w:rsidR="00DE0ACF" w:rsidRDefault="00DE0ACF">
            <w:pPr>
              <w:pStyle w:val="ConsPlusNormal"/>
              <w:jc w:val="center"/>
            </w:pPr>
          </w:p>
        </w:tc>
        <w:tc>
          <w:tcPr>
            <w:tcW w:w="1474" w:type="dxa"/>
            <w:vAlign w:val="center"/>
          </w:tcPr>
          <w:p w:rsidR="00DE0ACF" w:rsidRDefault="00DE0ACF">
            <w:pPr>
              <w:pStyle w:val="ConsPlusNormal"/>
              <w:jc w:val="center"/>
            </w:pPr>
          </w:p>
        </w:tc>
        <w:tc>
          <w:tcPr>
            <w:tcW w:w="1928" w:type="dxa"/>
            <w:vAlign w:val="center"/>
          </w:tcPr>
          <w:p w:rsidR="00DE0ACF" w:rsidRDefault="00DE0ACF">
            <w:pPr>
              <w:pStyle w:val="ConsPlusNormal"/>
              <w:jc w:val="center"/>
            </w:pPr>
          </w:p>
        </w:tc>
        <w:tc>
          <w:tcPr>
            <w:tcW w:w="1701" w:type="dxa"/>
            <w:vAlign w:val="center"/>
          </w:tcPr>
          <w:p w:rsidR="00DE0ACF" w:rsidRDefault="00DE0ACF">
            <w:pPr>
              <w:pStyle w:val="ConsPlusNormal"/>
              <w:jc w:val="center"/>
            </w:pPr>
          </w:p>
        </w:tc>
        <w:tc>
          <w:tcPr>
            <w:tcW w:w="1587" w:type="dxa"/>
            <w:vAlign w:val="center"/>
          </w:tcPr>
          <w:p w:rsidR="00DE0ACF" w:rsidRDefault="00DE0ACF">
            <w:pPr>
              <w:pStyle w:val="ConsPlusNormal"/>
              <w:jc w:val="center"/>
            </w:pPr>
          </w:p>
        </w:tc>
      </w:tr>
    </w:tbl>
    <w:p w:rsidR="00DE0ACF" w:rsidRDefault="00DE0ACF">
      <w:pPr>
        <w:pStyle w:val="ConsPlusNormal"/>
        <w:ind w:firstLine="540"/>
        <w:jc w:val="both"/>
      </w:pPr>
    </w:p>
    <w:p w:rsidR="00DE0ACF" w:rsidRDefault="00DE0ACF">
      <w:pPr>
        <w:pStyle w:val="ConsPlusNormal"/>
        <w:ind w:firstLine="540"/>
        <w:jc w:val="both"/>
        <w:outlineLvl w:val="2"/>
      </w:pPr>
      <w:bookmarkStart w:id="29" w:name="P391"/>
      <w:bookmarkEnd w:id="29"/>
      <w:r>
        <w:t>5. Сведения о несоответствии показателей бюджетных и денежных обязательствах, требующих дополнительного контроля</w:t>
      </w:r>
    </w:p>
    <w:p w:rsidR="00DE0ACF" w:rsidRDefault="00DE0ACF">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44"/>
        <w:gridCol w:w="758"/>
        <w:gridCol w:w="1286"/>
        <w:gridCol w:w="1176"/>
        <w:gridCol w:w="1871"/>
        <w:gridCol w:w="1728"/>
        <w:gridCol w:w="1644"/>
      </w:tblGrid>
      <w:tr w:rsidR="00DE0ACF">
        <w:tc>
          <w:tcPr>
            <w:tcW w:w="1911" w:type="dxa"/>
            <w:gridSpan w:val="2"/>
            <w:tcBorders>
              <w:left w:val="nil"/>
            </w:tcBorders>
            <w:vAlign w:val="center"/>
          </w:tcPr>
          <w:p w:rsidR="00DE0ACF" w:rsidRDefault="00DE0ACF">
            <w:pPr>
              <w:pStyle w:val="ConsPlusNormal"/>
              <w:jc w:val="center"/>
            </w:pPr>
            <w:r>
              <w:t>Глава по БК</w:t>
            </w:r>
          </w:p>
        </w:tc>
        <w:tc>
          <w:tcPr>
            <w:tcW w:w="3220" w:type="dxa"/>
            <w:gridSpan w:val="3"/>
            <w:vAlign w:val="center"/>
          </w:tcPr>
          <w:p w:rsidR="00DE0ACF" w:rsidRDefault="00DE0ACF">
            <w:pPr>
              <w:pStyle w:val="ConsPlusNormal"/>
              <w:jc w:val="center"/>
            </w:pPr>
            <w:r>
              <w:t>УБП/НУБП</w:t>
            </w:r>
          </w:p>
        </w:tc>
        <w:tc>
          <w:tcPr>
            <w:tcW w:w="1871" w:type="dxa"/>
            <w:vMerge w:val="restart"/>
            <w:vAlign w:val="center"/>
          </w:tcPr>
          <w:p w:rsidR="00DE0ACF" w:rsidRDefault="00DE0ACF">
            <w:pPr>
              <w:pStyle w:val="ConsPlusNormal"/>
              <w:jc w:val="center"/>
            </w:pPr>
            <w:r>
              <w:t xml:space="preserve">Сумма </w:t>
            </w:r>
            <w:r>
              <w:lastRenderedPageBreak/>
              <w:t>расхождений по бюджетным обязательствам</w:t>
            </w:r>
          </w:p>
        </w:tc>
        <w:tc>
          <w:tcPr>
            <w:tcW w:w="1728" w:type="dxa"/>
            <w:vMerge w:val="restart"/>
            <w:vAlign w:val="center"/>
          </w:tcPr>
          <w:p w:rsidR="00DE0ACF" w:rsidRDefault="00DE0ACF">
            <w:pPr>
              <w:pStyle w:val="ConsPlusNormal"/>
              <w:jc w:val="center"/>
            </w:pPr>
            <w:r>
              <w:lastRenderedPageBreak/>
              <w:t xml:space="preserve">Сумма </w:t>
            </w:r>
            <w:r>
              <w:lastRenderedPageBreak/>
              <w:t>расхождений по денежным обязательствам</w:t>
            </w:r>
          </w:p>
        </w:tc>
        <w:tc>
          <w:tcPr>
            <w:tcW w:w="1644" w:type="dxa"/>
            <w:vMerge w:val="restart"/>
            <w:tcBorders>
              <w:right w:val="nil"/>
            </w:tcBorders>
            <w:vAlign w:val="center"/>
          </w:tcPr>
          <w:p w:rsidR="00DE0ACF" w:rsidRDefault="00DE0ACF">
            <w:pPr>
              <w:pStyle w:val="ConsPlusNormal"/>
              <w:jc w:val="center"/>
            </w:pPr>
            <w:r>
              <w:lastRenderedPageBreak/>
              <w:t>Комментарий</w:t>
            </w:r>
          </w:p>
        </w:tc>
      </w:tr>
      <w:tr w:rsidR="00DE0ACF">
        <w:tc>
          <w:tcPr>
            <w:tcW w:w="567" w:type="dxa"/>
            <w:tcBorders>
              <w:left w:val="nil"/>
            </w:tcBorders>
            <w:vAlign w:val="center"/>
          </w:tcPr>
          <w:p w:rsidR="00DE0ACF" w:rsidRDefault="00DE0ACF">
            <w:pPr>
              <w:pStyle w:val="ConsPlusNormal"/>
              <w:jc w:val="center"/>
            </w:pPr>
            <w:r>
              <w:lastRenderedPageBreak/>
              <w:t>Код</w:t>
            </w:r>
          </w:p>
        </w:tc>
        <w:tc>
          <w:tcPr>
            <w:tcW w:w="1344" w:type="dxa"/>
            <w:vAlign w:val="center"/>
          </w:tcPr>
          <w:p w:rsidR="00DE0ACF" w:rsidRDefault="00DE0ACF">
            <w:pPr>
              <w:pStyle w:val="ConsPlusNormal"/>
              <w:jc w:val="center"/>
            </w:pPr>
            <w:r>
              <w:t>Наименование</w:t>
            </w:r>
          </w:p>
        </w:tc>
        <w:tc>
          <w:tcPr>
            <w:tcW w:w="758" w:type="dxa"/>
            <w:vAlign w:val="center"/>
          </w:tcPr>
          <w:p w:rsidR="00DE0ACF" w:rsidRDefault="00DE0ACF">
            <w:pPr>
              <w:pStyle w:val="ConsPlusNormal"/>
              <w:jc w:val="center"/>
            </w:pPr>
            <w:r>
              <w:t>Код</w:t>
            </w:r>
          </w:p>
        </w:tc>
        <w:tc>
          <w:tcPr>
            <w:tcW w:w="1286" w:type="dxa"/>
            <w:vAlign w:val="center"/>
          </w:tcPr>
          <w:p w:rsidR="00DE0ACF" w:rsidRDefault="00DE0ACF">
            <w:pPr>
              <w:pStyle w:val="ConsPlusNormal"/>
              <w:jc w:val="center"/>
            </w:pPr>
            <w:r>
              <w:t>Наименование</w:t>
            </w:r>
          </w:p>
        </w:tc>
        <w:tc>
          <w:tcPr>
            <w:tcW w:w="1176" w:type="dxa"/>
            <w:vAlign w:val="center"/>
          </w:tcPr>
          <w:p w:rsidR="00DE0ACF" w:rsidRDefault="00DE0ACF">
            <w:pPr>
              <w:pStyle w:val="ConsPlusNormal"/>
              <w:jc w:val="center"/>
            </w:pPr>
            <w:r>
              <w:t>Код типа субъекта мониторинга</w:t>
            </w:r>
          </w:p>
        </w:tc>
        <w:tc>
          <w:tcPr>
            <w:tcW w:w="1871" w:type="dxa"/>
            <w:vMerge/>
          </w:tcPr>
          <w:p w:rsidR="00DE0ACF" w:rsidRDefault="00DE0ACF"/>
        </w:tc>
        <w:tc>
          <w:tcPr>
            <w:tcW w:w="1728" w:type="dxa"/>
            <w:vMerge/>
          </w:tcPr>
          <w:p w:rsidR="00DE0ACF" w:rsidRDefault="00DE0ACF"/>
        </w:tc>
        <w:tc>
          <w:tcPr>
            <w:tcW w:w="1644" w:type="dxa"/>
            <w:vMerge/>
            <w:tcBorders>
              <w:right w:val="nil"/>
            </w:tcBorders>
          </w:tcPr>
          <w:p w:rsidR="00DE0ACF" w:rsidRDefault="00DE0ACF"/>
        </w:tc>
      </w:tr>
      <w:tr w:rsidR="00DE0ACF">
        <w:tc>
          <w:tcPr>
            <w:tcW w:w="567" w:type="dxa"/>
            <w:tcBorders>
              <w:left w:val="nil"/>
            </w:tcBorders>
            <w:vAlign w:val="center"/>
          </w:tcPr>
          <w:p w:rsidR="00DE0ACF" w:rsidRDefault="00DE0ACF">
            <w:pPr>
              <w:pStyle w:val="ConsPlusNormal"/>
              <w:jc w:val="center"/>
            </w:pPr>
            <w:bookmarkStart w:id="30" w:name="P403"/>
            <w:bookmarkEnd w:id="30"/>
            <w:r>
              <w:lastRenderedPageBreak/>
              <w:t>1</w:t>
            </w:r>
          </w:p>
        </w:tc>
        <w:tc>
          <w:tcPr>
            <w:tcW w:w="1344" w:type="dxa"/>
            <w:vAlign w:val="center"/>
          </w:tcPr>
          <w:p w:rsidR="00DE0ACF" w:rsidRDefault="00DE0ACF">
            <w:pPr>
              <w:pStyle w:val="ConsPlusNormal"/>
              <w:jc w:val="center"/>
            </w:pPr>
            <w:r>
              <w:t>2</w:t>
            </w:r>
          </w:p>
        </w:tc>
        <w:tc>
          <w:tcPr>
            <w:tcW w:w="758" w:type="dxa"/>
            <w:vAlign w:val="center"/>
          </w:tcPr>
          <w:p w:rsidR="00DE0ACF" w:rsidRDefault="00DE0ACF">
            <w:pPr>
              <w:pStyle w:val="ConsPlusNormal"/>
              <w:jc w:val="center"/>
            </w:pPr>
            <w:bookmarkStart w:id="31" w:name="P405"/>
            <w:bookmarkEnd w:id="31"/>
            <w:r>
              <w:t>3</w:t>
            </w:r>
          </w:p>
        </w:tc>
        <w:tc>
          <w:tcPr>
            <w:tcW w:w="1286" w:type="dxa"/>
            <w:vAlign w:val="center"/>
          </w:tcPr>
          <w:p w:rsidR="00DE0ACF" w:rsidRDefault="00DE0ACF">
            <w:pPr>
              <w:pStyle w:val="ConsPlusNormal"/>
              <w:jc w:val="center"/>
            </w:pPr>
            <w:r>
              <w:t>4</w:t>
            </w:r>
          </w:p>
        </w:tc>
        <w:tc>
          <w:tcPr>
            <w:tcW w:w="1176" w:type="dxa"/>
            <w:vAlign w:val="center"/>
          </w:tcPr>
          <w:p w:rsidR="00DE0ACF" w:rsidRDefault="00DE0ACF">
            <w:pPr>
              <w:pStyle w:val="ConsPlusNormal"/>
              <w:jc w:val="center"/>
            </w:pPr>
            <w:bookmarkStart w:id="32" w:name="P407"/>
            <w:bookmarkEnd w:id="32"/>
            <w:r>
              <w:t>5</w:t>
            </w:r>
          </w:p>
        </w:tc>
        <w:tc>
          <w:tcPr>
            <w:tcW w:w="1871" w:type="dxa"/>
            <w:vAlign w:val="center"/>
          </w:tcPr>
          <w:p w:rsidR="00DE0ACF" w:rsidRDefault="00DE0ACF">
            <w:pPr>
              <w:pStyle w:val="ConsPlusNormal"/>
              <w:jc w:val="center"/>
            </w:pPr>
            <w:bookmarkStart w:id="33" w:name="P408"/>
            <w:bookmarkEnd w:id="33"/>
            <w:r>
              <w:t>6</w:t>
            </w:r>
          </w:p>
        </w:tc>
        <w:tc>
          <w:tcPr>
            <w:tcW w:w="1728" w:type="dxa"/>
            <w:vAlign w:val="center"/>
          </w:tcPr>
          <w:p w:rsidR="00DE0ACF" w:rsidRDefault="00DE0ACF">
            <w:pPr>
              <w:pStyle w:val="ConsPlusNormal"/>
              <w:jc w:val="center"/>
            </w:pPr>
            <w:bookmarkStart w:id="34" w:name="P409"/>
            <w:bookmarkEnd w:id="34"/>
            <w:r>
              <w:t>7</w:t>
            </w:r>
          </w:p>
        </w:tc>
        <w:tc>
          <w:tcPr>
            <w:tcW w:w="1644" w:type="dxa"/>
            <w:tcBorders>
              <w:right w:val="nil"/>
            </w:tcBorders>
            <w:vAlign w:val="center"/>
          </w:tcPr>
          <w:p w:rsidR="00DE0ACF" w:rsidRDefault="00DE0ACF">
            <w:pPr>
              <w:pStyle w:val="ConsPlusNormal"/>
              <w:jc w:val="center"/>
            </w:pPr>
            <w:bookmarkStart w:id="35" w:name="P410"/>
            <w:bookmarkEnd w:id="35"/>
            <w:r>
              <w:t>8</w:t>
            </w: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871" w:type="dxa"/>
            <w:vAlign w:val="center"/>
          </w:tcPr>
          <w:p w:rsidR="00DE0ACF" w:rsidRDefault="00DE0ACF">
            <w:pPr>
              <w:pStyle w:val="ConsPlusNormal"/>
              <w:jc w:val="center"/>
            </w:pPr>
          </w:p>
        </w:tc>
        <w:tc>
          <w:tcPr>
            <w:tcW w:w="1728"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871" w:type="dxa"/>
            <w:vAlign w:val="center"/>
          </w:tcPr>
          <w:p w:rsidR="00DE0ACF" w:rsidRDefault="00DE0ACF">
            <w:pPr>
              <w:pStyle w:val="ConsPlusNormal"/>
              <w:jc w:val="center"/>
            </w:pPr>
          </w:p>
        </w:tc>
        <w:tc>
          <w:tcPr>
            <w:tcW w:w="1728"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r w:rsidR="00DE0ACF">
        <w:tblPrEx>
          <w:tblBorders>
            <w:left w:val="single" w:sz="4" w:space="0" w:color="auto"/>
            <w:right w:val="single" w:sz="4" w:space="0" w:color="auto"/>
          </w:tblBorders>
        </w:tblPrEx>
        <w:tc>
          <w:tcPr>
            <w:tcW w:w="567" w:type="dxa"/>
            <w:vAlign w:val="center"/>
          </w:tcPr>
          <w:p w:rsidR="00DE0ACF" w:rsidRDefault="00DE0ACF">
            <w:pPr>
              <w:pStyle w:val="ConsPlusNormal"/>
              <w:jc w:val="center"/>
            </w:pPr>
          </w:p>
        </w:tc>
        <w:tc>
          <w:tcPr>
            <w:tcW w:w="1344" w:type="dxa"/>
            <w:vAlign w:val="center"/>
          </w:tcPr>
          <w:p w:rsidR="00DE0ACF" w:rsidRDefault="00DE0ACF">
            <w:pPr>
              <w:pStyle w:val="ConsPlusNormal"/>
              <w:jc w:val="center"/>
            </w:pPr>
          </w:p>
        </w:tc>
        <w:tc>
          <w:tcPr>
            <w:tcW w:w="758" w:type="dxa"/>
            <w:vAlign w:val="center"/>
          </w:tcPr>
          <w:p w:rsidR="00DE0ACF" w:rsidRDefault="00DE0ACF">
            <w:pPr>
              <w:pStyle w:val="ConsPlusNormal"/>
              <w:jc w:val="center"/>
            </w:pPr>
          </w:p>
        </w:tc>
        <w:tc>
          <w:tcPr>
            <w:tcW w:w="1286" w:type="dxa"/>
            <w:vAlign w:val="center"/>
          </w:tcPr>
          <w:p w:rsidR="00DE0ACF" w:rsidRDefault="00DE0ACF">
            <w:pPr>
              <w:pStyle w:val="ConsPlusNormal"/>
              <w:jc w:val="center"/>
            </w:pPr>
          </w:p>
        </w:tc>
        <w:tc>
          <w:tcPr>
            <w:tcW w:w="1176" w:type="dxa"/>
            <w:vAlign w:val="center"/>
          </w:tcPr>
          <w:p w:rsidR="00DE0ACF" w:rsidRDefault="00DE0ACF">
            <w:pPr>
              <w:pStyle w:val="ConsPlusNormal"/>
              <w:jc w:val="center"/>
            </w:pPr>
          </w:p>
        </w:tc>
        <w:tc>
          <w:tcPr>
            <w:tcW w:w="1871" w:type="dxa"/>
            <w:vAlign w:val="center"/>
          </w:tcPr>
          <w:p w:rsidR="00DE0ACF" w:rsidRDefault="00DE0ACF">
            <w:pPr>
              <w:pStyle w:val="ConsPlusNormal"/>
              <w:jc w:val="center"/>
            </w:pPr>
          </w:p>
        </w:tc>
        <w:tc>
          <w:tcPr>
            <w:tcW w:w="1728" w:type="dxa"/>
            <w:vAlign w:val="center"/>
          </w:tcPr>
          <w:p w:rsidR="00DE0ACF" w:rsidRDefault="00DE0ACF">
            <w:pPr>
              <w:pStyle w:val="ConsPlusNormal"/>
              <w:jc w:val="center"/>
            </w:pPr>
          </w:p>
        </w:tc>
        <w:tc>
          <w:tcPr>
            <w:tcW w:w="1644" w:type="dxa"/>
            <w:vAlign w:val="center"/>
          </w:tcPr>
          <w:p w:rsidR="00DE0ACF" w:rsidRDefault="00DE0ACF">
            <w:pPr>
              <w:pStyle w:val="ConsPlusNormal"/>
              <w:jc w:val="center"/>
            </w:pPr>
          </w:p>
        </w:tc>
      </w:tr>
    </w:tbl>
    <w:p w:rsidR="00DE0ACF" w:rsidRDefault="00DE0ACF">
      <w:pPr>
        <w:pStyle w:val="ConsPlusNormal"/>
        <w:ind w:firstLine="540"/>
        <w:jc w:val="both"/>
      </w:pPr>
    </w:p>
    <w:p w:rsidR="00DE0ACF" w:rsidRDefault="00DE0ACF">
      <w:pPr>
        <w:pStyle w:val="ConsPlusNormal"/>
        <w:ind w:firstLine="540"/>
        <w:jc w:val="both"/>
      </w:pPr>
    </w:p>
    <w:p w:rsidR="00DE0ACF" w:rsidRDefault="00DE0ACF">
      <w:pPr>
        <w:pStyle w:val="ConsPlusNormal"/>
        <w:pBdr>
          <w:top w:val="single" w:sz="6" w:space="0" w:color="auto"/>
        </w:pBdr>
        <w:spacing w:before="100" w:after="100"/>
        <w:jc w:val="both"/>
        <w:rPr>
          <w:sz w:val="2"/>
          <w:szCs w:val="2"/>
        </w:rPr>
      </w:pPr>
    </w:p>
    <w:p w:rsidR="00B27F8A" w:rsidRDefault="00B27F8A">
      <w:bookmarkStart w:id="36" w:name="_GoBack"/>
      <w:bookmarkEnd w:id="36"/>
    </w:p>
    <w:sectPr w:rsidR="00B27F8A" w:rsidSect="0083550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ACF"/>
    <w:rsid w:val="00B27F8A"/>
    <w:rsid w:val="00DE0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A34D8-543C-4C25-A53D-BC513386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0A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0A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0A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0AC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D04543F1C95223231A2E7C6D171E3CB54046EC002F1810E2FDF81CA2CE82BF311308E19D204C01KExAG" TargetMode="External"/><Relationship Id="rId3" Type="http://schemas.openxmlformats.org/officeDocument/2006/relationships/webSettings" Target="webSettings.xml"/><Relationship Id="rId7" Type="http://schemas.openxmlformats.org/officeDocument/2006/relationships/hyperlink" Target="consultantplus://offline/ref=55D04543F1C95223231A2E7C6D171E3CB54046EC062F1810E2FDF81CA2CE82BF311308E19D204C06KEx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5D04543F1C95223231A2E7C6D171E3CB54046EC002F1810E2FDF81CA2CE82BF311308KEx8G" TargetMode="External"/><Relationship Id="rId5" Type="http://schemas.openxmlformats.org/officeDocument/2006/relationships/hyperlink" Target="consultantplus://offline/ref=55D04543F1C95223231A2E7C6D171E3CB54046EC002F1810E2FDF81CA2CE82BF311308E19D294403KExFG" TargetMode="External"/><Relationship Id="rId10"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4661</Words>
  <Characters>26574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Гусейнова Зубайдат Шейхилаевна</dc:creator>
  <cp:keywords/>
  <dc:description/>
  <cp:lastModifiedBy>Гусейнова Зубайдат Шейхилаевна</cp:lastModifiedBy>
  <cp:revision>1</cp:revision>
  <dcterms:created xsi:type="dcterms:W3CDTF">2017-02-10T06:49:00Z</dcterms:created>
  <dcterms:modified xsi:type="dcterms:W3CDTF">2017-02-10T06:49:00Z</dcterms:modified>
</cp:coreProperties>
</file>